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DDA2" w14:textId="77777777" w:rsidR="009A56D7" w:rsidRDefault="00CE6A08" w:rsidP="00C068F1">
      <w:pPr>
        <w:pStyle w:val="Title"/>
      </w:pPr>
      <w:r>
        <w:t>Comparison of Tenure and Continuing Status in the Academic Specialist System</w:t>
      </w:r>
    </w:p>
    <w:p w14:paraId="1E771FF9" w14:textId="24371804" w:rsidR="009A56D7" w:rsidRDefault="009A56D7" w:rsidP="00C068F1">
      <w:pPr>
        <w:pStyle w:val="Subtitle"/>
      </w:pPr>
      <w:r>
        <w:t>F</w:t>
      </w:r>
      <w:r w:rsidR="009347A5">
        <w:t>or Unit Admins</w:t>
      </w:r>
      <w:r>
        <w:t xml:space="preserve"> and Unit HR Staff</w:t>
      </w:r>
    </w:p>
    <w:sdt>
      <w:sdtPr>
        <w:rPr>
          <w:rFonts w:asciiTheme="minorHAnsi" w:eastAsiaTheme="minorEastAsia" w:hAnsiTheme="minorHAnsi" w:cstheme="minorBidi"/>
          <w:color w:val="auto"/>
          <w:sz w:val="22"/>
          <w:szCs w:val="22"/>
        </w:rPr>
        <w:id w:val="2026286105"/>
        <w:docPartObj>
          <w:docPartGallery w:val="Table of Contents"/>
          <w:docPartUnique/>
        </w:docPartObj>
      </w:sdtPr>
      <w:sdtEndPr>
        <w:rPr>
          <w:b/>
          <w:bCs/>
          <w:noProof/>
        </w:rPr>
      </w:sdtEndPr>
      <w:sdtContent>
        <w:p w14:paraId="7094D9FD" w14:textId="754D9540" w:rsidR="006D28B6" w:rsidRDefault="006D28B6">
          <w:pPr>
            <w:pStyle w:val="TOCHeading"/>
          </w:pPr>
          <w:r>
            <w:t>Contents</w:t>
          </w:r>
        </w:p>
        <w:p w14:paraId="46384F5A" w14:textId="06891B1F" w:rsidR="006D28B6" w:rsidRDefault="006D28B6">
          <w:pPr>
            <w:pStyle w:val="TOC1"/>
            <w:tabs>
              <w:tab w:val="right" w:leader="dot" w:pos="10790"/>
            </w:tabs>
            <w:rPr>
              <w:noProof/>
            </w:rPr>
          </w:pPr>
          <w:r>
            <w:fldChar w:fldCharType="begin"/>
          </w:r>
          <w:r>
            <w:instrText xml:space="preserve"> TOC \o "1-3" \h \z \u </w:instrText>
          </w:r>
          <w:r>
            <w:fldChar w:fldCharType="separate"/>
          </w:r>
          <w:hyperlink w:anchor="_Toc193729656" w:history="1">
            <w:r w:rsidRPr="00AF00CC">
              <w:rPr>
                <w:rStyle w:val="Hyperlink"/>
                <w:noProof/>
              </w:rPr>
              <w:t>Faculty Status</w:t>
            </w:r>
            <w:r>
              <w:rPr>
                <w:noProof/>
                <w:webHidden/>
              </w:rPr>
              <w:tab/>
            </w:r>
            <w:r>
              <w:rPr>
                <w:noProof/>
                <w:webHidden/>
              </w:rPr>
              <w:fldChar w:fldCharType="begin"/>
            </w:r>
            <w:r>
              <w:rPr>
                <w:noProof/>
                <w:webHidden/>
              </w:rPr>
              <w:instrText xml:space="preserve"> PAGEREF _Toc193729656 \h </w:instrText>
            </w:r>
            <w:r>
              <w:rPr>
                <w:noProof/>
                <w:webHidden/>
              </w:rPr>
            </w:r>
            <w:r>
              <w:rPr>
                <w:noProof/>
                <w:webHidden/>
              </w:rPr>
              <w:fldChar w:fldCharType="separate"/>
            </w:r>
            <w:r>
              <w:rPr>
                <w:noProof/>
                <w:webHidden/>
              </w:rPr>
              <w:t>1</w:t>
            </w:r>
            <w:r>
              <w:rPr>
                <w:noProof/>
                <w:webHidden/>
              </w:rPr>
              <w:fldChar w:fldCharType="end"/>
            </w:r>
          </w:hyperlink>
        </w:p>
        <w:p w14:paraId="79491140" w14:textId="677DC94B" w:rsidR="006D28B6" w:rsidRDefault="006D28B6">
          <w:pPr>
            <w:pStyle w:val="TOC1"/>
            <w:tabs>
              <w:tab w:val="right" w:leader="dot" w:pos="10790"/>
            </w:tabs>
            <w:rPr>
              <w:noProof/>
            </w:rPr>
          </w:pPr>
          <w:hyperlink w:anchor="_Toc193729657" w:history="1">
            <w:r w:rsidRPr="00AF00CC">
              <w:rPr>
                <w:rStyle w:val="Hyperlink"/>
                <w:noProof/>
              </w:rPr>
              <w:t>Ending Positions</w:t>
            </w:r>
            <w:r>
              <w:rPr>
                <w:noProof/>
                <w:webHidden/>
              </w:rPr>
              <w:tab/>
            </w:r>
            <w:r>
              <w:rPr>
                <w:noProof/>
                <w:webHidden/>
              </w:rPr>
              <w:fldChar w:fldCharType="begin"/>
            </w:r>
            <w:r>
              <w:rPr>
                <w:noProof/>
                <w:webHidden/>
              </w:rPr>
              <w:instrText xml:space="preserve"> PAGEREF _Toc193729657 \h </w:instrText>
            </w:r>
            <w:r>
              <w:rPr>
                <w:noProof/>
                <w:webHidden/>
              </w:rPr>
            </w:r>
            <w:r>
              <w:rPr>
                <w:noProof/>
                <w:webHidden/>
              </w:rPr>
              <w:fldChar w:fldCharType="separate"/>
            </w:r>
            <w:r>
              <w:rPr>
                <w:noProof/>
                <w:webHidden/>
              </w:rPr>
              <w:t>2</w:t>
            </w:r>
            <w:r>
              <w:rPr>
                <w:noProof/>
                <w:webHidden/>
              </w:rPr>
              <w:fldChar w:fldCharType="end"/>
            </w:r>
          </w:hyperlink>
        </w:p>
        <w:p w14:paraId="0327B120" w14:textId="6EE14390" w:rsidR="006D28B6" w:rsidRDefault="006D28B6">
          <w:pPr>
            <w:pStyle w:val="TOC1"/>
            <w:tabs>
              <w:tab w:val="right" w:leader="dot" w:pos="10790"/>
            </w:tabs>
            <w:rPr>
              <w:noProof/>
            </w:rPr>
          </w:pPr>
          <w:hyperlink w:anchor="_Toc193729658" w:history="1">
            <w:r w:rsidRPr="00AF00CC">
              <w:rPr>
                <w:rStyle w:val="Hyperlink"/>
                <w:noProof/>
              </w:rPr>
              <w:t>Probationary Periods</w:t>
            </w:r>
            <w:r>
              <w:rPr>
                <w:noProof/>
                <w:webHidden/>
              </w:rPr>
              <w:tab/>
            </w:r>
            <w:r>
              <w:rPr>
                <w:noProof/>
                <w:webHidden/>
              </w:rPr>
              <w:fldChar w:fldCharType="begin"/>
            </w:r>
            <w:r>
              <w:rPr>
                <w:noProof/>
                <w:webHidden/>
              </w:rPr>
              <w:instrText xml:space="preserve"> PAGEREF _Toc193729658 \h </w:instrText>
            </w:r>
            <w:r>
              <w:rPr>
                <w:noProof/>
                <w:webHidden/>
              </w:rPr>
            </w:r>
            <w:r>
              <w:rPr>
                <w:noProof/>
                <w:webHidden/>
              </w:rPr>
              <w:fldChar w:fldCharType="separate"/>
            </w:r>
            <w:r>
              <w:rPr>
                <w:noProof/>
                <w:webHidden/>
              </w:rPr>
              <w:t>2</w:t>
            </w:r>
            <w:r>
              <w:rPr>
                <w:noProof/>
                <w:webHidden/>
              </w:rPr>
              <w:fldChar w:fldCharType="end"/>
            </w:r>
          </w:hyperlink>
        </w:p>
        <w:p w14:paraId="24C2C941" w14:textId="507F828C" w:rsidR="006D28B6" w:rsidRDefault="006D28B6">
          <w:pPr>
            <w:pStyle w:val="TOC1"/>
            <w:tabs>
              <w:tab w:val="right" w:leader="dot" w:pos="10790"/>
            </w:tabs>
            <w:rPr>
              <w:noProof/>
            </w:rPr>
          </w:pPr>
          <w:hyperlink w:anchor="_Toc193729659" w:history="1">
            <w:r w:rsidRPr="00AF00CC">
              <w:rPr>
                <w:rStyle w:val="Hyperlink"/>
                <w:noProof/>
              </w:rPr>
              <w:t>Annual Review</w:t>
            </w:r>
            <w:r>
              <w:rPr>
                <w:noProof/>
                <w:webHidden/>
              </w:rPr>
              <w:tab/>
            </w:r>
            <w:r>
              <w:rPr>
                <w:noProof/>
                <w:webHidden/>
              </w:rPr>
              <w:fldChar w:fldCharType="begin"/>
            </w:r>
            <w:r>
              <w:rPr>
                <w:noProof/>
                <w:webHidden/>
              </w:rPr>
              <w:instrText xml:space="preserve"> PAGEREF _Toc193729659 \h </w:instrText>
            </w:r>
            <w:r>
              <w:rPr>
                <w:noProof/>
                <w:webHidden/>
              </w:rPr>
            </w:r>
            <w:r>
              <w:rPr>
                <w:noProof/>
                <w:webHidden/>
              </w:rPr>
              <w:fldChar w:fldCharType="separate"/>
            </w:r>
            <w:r>
              <w:rPr>
                <w:noProof/>
                <w:webHidden/>
              </w:rPr>
              <w:t>4</w:t>
            </w:r>
            <w:r>
              <w:rPr>
                <w:noProof/>
                <w:webHidden/>
              </w:rPr>
              <w:fldChar w:fldCharType="end"/>
            </w:r>
          </w:hyperlink>
        </w:p>
        <w:p w14:paraId="5FAF9808" w14:textId="607239AE" w:rsidR="006D28B6" w:rsidRDefault="006D28B6">
          <w:pPr>
            <w:pStyle w:val="TOC1"/>
            <w:tabs>
              <w:tab w:val="right" w:leader="dot" w:pos="10790"/>
            </w:tabs>
            <w:rPr>
              <w:noProof/>
            </w:rPr>
          </w:pPr>
          <w:hyperlink w:anchor="_Toc193729660" w:history="1">
            <w:r w:rsidRPr="00AF00CC">
              <w:rPr>
                <w:rStyle w:val="Hyperlink"/>
                <w:noProof/>
              </w:rPr>
              <w:t>Transitioning from Fixed Term</w:t>
            </w:r>
            <w:r>
              <w:rPr>
                <w:noProof/>
                <w:webHidden/>
              </w:rPr>
              <w:tab/>
            </w:r>
            <w:r>
              <w:rPr>
                <w:noProof/>
                <w:webHidden/>
              </w:rPr>
              <w:fldChar w:fldCharType="begin"/>
            </w:r>
            <w:r>
              <w:rPr>
                <w:noProof/>
                <w:webHidden/>
              </w:rPr>
              <w:instrText xml:space="preserve"> PAGEREF _Toc193729660 \h </w:instrText>
            </w:r>
            <w:r>
              <w:rPr>
                <w:noProof/>
                <w:webHidden/>
              </w:rPr>
            </w:r>
            <w:r>
              <w:rPr>
                <w:noProof/>
                <w:webHidden/>
              </w:rPr>
              <w:fldChar w:fldCharType="separate"/>
            </w:r>
            <w:r>
              <w:rPr>
                <w:noProof/>
                <w:webHidden/>
              </w:rPr>
              <w:t>4</w:t>
            </w:r>
            <w:r>
              <w:rPr>
                <w:noProof/>
                <w:webHidden/>
              </w:rPr>
              <w:fldChar w:fldCharType="end"/>
            </w:r>
          </w:hyperlink>
        </w:p>
        <w:p w14:paraId="6E685E71" w14:textId="5ED6D548" w:rsidR="006D28B6" w:rsidRDefault="006D28B6">
          <w:pPr>
            <w:pStyle w:val="TOC1"/>
            <w:tabs>
              <w:tab w:val="right" w:leader="dot" w:pos="10790"/>
            </w:tabs>
            <w:rPr>
              <w:noProof/>
            </w:rPr>
          </w:pPr>
          <w:hyperlink w:anchor="_Toc193729661" w:history="1">
            <w:r w:rsidRPr="00AF00CC">
              <w:rPr>
                <w:rStyle w:val="Hyperlink"/>
                <w:noProof/>
              </w:rPr>
              <w:t>Revision History</w:t>
            </w:r>
            <w:r>
              <w:rPr>
                <w:noProof/>
                <w:webHidden/>
              </w:rPr>
              <w:tab/>
            </w:r>
            <w:r>
              <w:rPr>
                <w:noProof/>
                <w:webHidden/>
              </w:rPr>
              <w:fldChar w:fldCharType="begin"/>
            </w:r>
            <w:r>
              <w:rPr>
                <w:noProof/>
                <w:webHidden/>
              </w:rPr>
              <w:instrText xml:space="preserve"> PAGEREF _Toc193729661 \h </w:instrText>
            </w:r>
            <w:r>
              <w:rPr>
                <w:noProof/>
                <w:webHidden/>
              </w:rPr>
            </w:r>
            <w:r>
              <w:rPr>
                <w:noProof/>
                <w:webHidden/>
              </w:rPr>
              <w:fldChar w:fldCharType="separate"/>
            </w:r>
            <w:r>
              <w:rPr>
                <w:noProof/>
                <w:webHidden/>
              </w:rPr>
              <w:t>5</w:t>
            </w:r>
            <w:r>
              <w:rPr>
                <w:noProof/>
                <w:webHidden/>
              </w:rPr>
              <w:fldChar w:fldCharType="end"/>
            </w:r>
          </w:hyperlink>
        </w:p>
        <w:p w14:paraId="197BA80A" w14:textId="72C11B9F" w:rsidR="006D28B6" w:rsidRDefault="006D28B6">
          <w:r>
            <w:rPr>
              <w:b/>
              <w:bCs/>
              <w:noProof/>
            </w:rPr>
            <w:fldChar w:fldCharType="end"/>
          </w:r>
        </w:p>
      </w:sdtContent>
    </w:sdt>
    <w:p w14:paraId="07EA7ED2" w14:textId="6D4984F0" w:rsidR="00771D43" w:rsidRPr="00771D43" w:rsidRDefault="00771D43" w:rsidP="00771D43">
      <w:pPr>
        <w:pStyle w:val="Heading1"/>
      </w:pPr>
      <w:bookmarkStart w:id="0" w:name="_Toc193729656"/>
      <w:r>
        <w:t>Faculty Status</w:t>
      </w:r>
      <w:bookmarkEnd w:id="0"/>
    </w:p>
    <w:tbl>
      <w:tblPr>
        <w:tblStyle w:val="CalendarList"/>
        <w:tblW w:w="10800" w:type="dxa"/>
        <w:tblLook w:val="04A0" w:firstRow="1" w:lastRow="0" w:firstColumn="1" w:lastColumn="0" w:noHBand="0" w:noVBand="1"/>
      </w:tblPr>
      <w:tblGrid>
        <w:gridCol w:w="3518"/>
        <w:gridCol w:w="3764"/>
        <w:gridCol w:w="3518"/>
      </w:tblGrid>
      <w:tr w:rsidR="00CE6A08" w14:paraId="57C6BB77" w14:textId="77777777" w:rsidTr="2A2AF303">
        <w:trPr>
          <w:cnfStyle w:val="100000000000" w:firstRow="1" w:lastRow="0" w:firstColumn="0" w:lastColumn="0" w:oddVBand="0" w:evenVBand="0" w:oddHBand="0" w:evenHBand="0" w:firstRowFirstColumn="0" w:firstRowLastColumn="0" w:lastRowFirstColumn="0" w:lastRowLastColumn="0"/>
          <w:tblHeader/>
        </w:trPr>
        <w:tc>
          <w:tcPr>
            <w:tcW w:w="3518" w:type="dxa"/>
            <w:shd w:val="clear" w:color="auto" w:fill="18453B" w:themeFill="text2"/>
          </w:tcPr>
          <w:p w14:paraId="13610170" w14:textId="77777777" w:rsidR="00CE6A08" w:rsidRDefault="00CE6A08"/>
        </w:tc>
        <w:tc>
          <w:tcPr>
            <w:tcW w:w="3764" w:type="dxa"/>
            <w:shd w:val="clear" w:color="auto" w:fill="18453B" w:themeFill="text2"/>
          </w:tcPr>
          <w:p w14:paraId="0B80F185" w14:textId="19FB42D5" w:rsidR="00CE6A08" w:rsidRDefault="00CE6A08">
            <w:r>
              <w:t>Tenure</w:t>
            </w:r>
          </w:p>
        </w:tc>
        <w:tc>
          <w:tcPr>
            <w:tcW w:w="3518" w:type="dxa"/>
            <w:shd w:val="clear" w:color="auto" w:fill="18453B" w:themeFill="text2"/>
          </w:tcPr>
          <w:p w14:paraId="6CBE3366" w14:textId="0A799EEB" w:rsidR="00CE6A08" w:rsidRDefault="00CE6A08">
            <w:r>
              <w:t>A</w:t>
            </w:r>
            <w:r w:rsidR="209260C9">
              <w:t xml:space="preserve">cademic </w:t>
            </w:r>
            <w:r>
              <w:t>S</w:t>
            </w:r>
            <w:r w:rsidR="5D992E02">
              <w:t>pecialist</w:t>
            </w:r>
            <w:r>
              <w:t xml:space="preserve"> Cont</w:t>
            </w:r>
            <w:r w:rsidR="00995ABE">
              <w:t>inuing</w:t>
            </w:r>
            <w:r>
              <w:t xml:space="preserve"> Status</w:t>
            </w:r>
          </w:p>
        </w:tc>
      </w:tr>
      <w:tr w:rsidR="00CE6A08" w14:paraId="33015587" w14:textId="77777777" w:rsidTr="2A2AF303">
        <w:tc>
          <w:tcPr>
            <w:tcW w:w="3518" w:type="dxa"/>
          </w:tcPr>
          <w:p w14:paraId="7E129992" w14:textId="17A43545" w:rsidR="00CE6A08" w:rsidRDefault="00F92766">
            <w:r>
              <w:t>Are these individuals faculty?</w:t>
            </w:r>
          </w:p>
        </w:tc>
        <w:tc>
          <w:tcPr>
            <w:tcW w:w="3764" w:type="dxa"/>
          </w:tcPr>
          <w:p w14:paraId="2A9A71F9" w14:textId="18912002" w:rsidR="00CE6A08" w:rsidRDefault="00F92766">
            <w:r>
              <w:t>Yes</w:t>
            </w:r>
          </w:p>
        </w:tc>
        <w:tc>
          <w:tcPr>
            <w:tcW w:w="3518" w:type="dxa"/>
          </w:tcPr>
          <w:p w14:paraId="021321B9" w14:textId="3DA6759E" w:rsidR="00F73C62" w:rsidRDefault="00F92766">
            <w:r>
              <w:t xml:space="preserve">Yes, according to </w:t>
            </w:r>
            <w:hyperlink r:id="rId9" w:anchor="section1" w:history="1">
              <w:r w:rsidRPr="00F92766">
                <w:rPr>
                  <w:rStyle w:val="Hyperlink"/>
                </w:rPr>
                <w:t>U bylaws</w:t>
              </w:r>
            </w:hyperlink>
            <w:r>
              <w:t xml:space="preserve">, but no, according to </w:t>
            </w:r>
            <w:hyperlink r:id="rId10" w:history="1">
              <w:r w:rsidRPr="00F92766">
                <w:rPr>
                  <w:rStyle w:val="Hyperlink"/>
                </w:rPr>
                <w:t>HR coding</w:t>
              </w:r>
            </w:hyperlink>
            <w:r>
              <w:t>.</w:t>
            </w:r>
          </w:p>
        </w:tc>
      </w:tr>
      <w:tr w:rsidR="00F73C62" w14:paraId="4CC1AEAB" w14:textId="77777777" w:rsidTr="2A2AF303">
        <w:tc>
          <w:tcPr>
            <w:tcW w:w="3518" w:type="dxa"/>
          </w:tcPr>
          <w:p w14:paraId="29967D84" w14:textId="326F246D" w:rsidR="00F73C62" w:rsidRDefault="00F73C62" w:rsidP="00F73C62">
            <w:r>
              <w:t>Do I have full discretion about whether a position is fixed term or tenure/continuing system?</w:t>
            </w:r>
          </w:p>
        </w:tc>
        <w:tc>
          <w:tcPr>
            <w:tcW w:w="3764" w:type="dxa"/>
          </w:tcPr>
          <w:p w14:paraId="0D59ED0D" w14:textId="6CD52503" w:rsidR="00F73C62" w:rsidRDefault="00F73C62" w:rsidP="00F73C62">
            <w:r>
              <w:t xml:space="preserve">Sort of. You can make an argument, but the question of tenure system vs. fixed term is decided as part of a broader planning conversation with the dean. See </w:t>
            </w:r>
            <w:hyperlink r:id="rId11" w:history="1">
              <w:r w:rsidRPr="00E507C6">
                <w:rPr>
                  <w:rStyle w:val="Hyperlink"/>
                </w:rPr>
                <w:t>2.1 Planning the Academic Hiring Procedure</w:t>
              </w:r>
            </w:hyperlink>
            <w:r>
              <w:t xml:space="preserve">. </w:t>
            </w:r>
          </w:p>
        </w:tc>
        <w:tc>
          <w:tcPr>
            <w:tcW w:w="3518" w:type="dxa"/>
          </w:tcPr>
          <w:p w14:paraId="4DE7B2C3" w14:textId="099A2100" w:rsidR="00F73C62" w:rsidRDefault="00F73C62" w:rsidP="00F73C62">
            <w:r>
              <w:t xml:space="preserve">Sort of. You can make an argument, but the use of the </w:t>
            </w:r>
            <w:r w:rsidR="078E8269">
              <w:t>continuing</w:t>
            </w:r>
            <w:r>
              <w:t xml:space="preserve"> system </w:t>
            </w:r>
            <w:r w:rsidR="069A79DE">
              <w:t xml:space="preserve">vs. fixed term </w:t>
            </w:r>
            <w:r>
              <w:t xml:space="preserve">is decided as part of a broader planning conversation with the dean. See </w:t>
            </w:r>
            <w:hyperlink r:id="rId12">
              <w:r w:rsidRPr="2A2AF303">
                <w:rPr>
                  <w:rStyle w:val="Hyperlink"/>
                </w:rPr>
                <w:t>2.1 Planning the Academic Hiring Procedure</w:t>
              </w:r>
            </w:hyperlink>
            <w:r>
              <w:t xml:space="preserve"> and subject to additional review for appropriate classification by FASA (</w:t>
            </w:r>
            <w:hyperlink r:id="rId13">
              <w:r w:rsidRPr="2A2AF303">
                <w:rPr>
                  <w:rStyle w:val="Hyperlink"/>
                </w:rPr>
                <w:t>Handbook</w:t>
              </w:r>
            </w:hyperlink>
            <w:r>
              <w:t>, 4.1) The Handbook also states that “generally</w:t>
            </w:r>
            <w:r w:rsidR="5C7E954F">
              <w:t>,</w:t>
            </w:r>
            <w:r>
              <w:t xml:space="preserve"> repeated fixed term appointments may not be used as a mechanism to bypass the continuing appointment system. However, positions funded with grant or other non-general funds normally are fixed term in nature.” (Handbook, 2.4)</w:t>
            </w:r>
          </w:p>
        </w:tc>
      </w:tr>
    </w:tbl>
    <w:p w14:paraId="26554361" w14:textId="1ACEBD6A" w:rsidR="00771D43" w:rsidRDefault="00247B62" w:rsidP="00247B62">
      <w:pPr>
        <w:pStyle w:val="Heading1"/>
      </w:pPr>
      <w:bookmarkStart w:id="1" w:name="_Toc193729657"/>
      <w:r>
        <w:lastRenderedPageBreak/>
        <w:t>Ending Positions</w:t>
      </w:r>
      <w:bookmarkEnd w:id="1"/>
    </w:p>
    <w:tbl>
      <w:tblPr>
        <w:tblStyle w:val="CalendarList"/>
        <w:tblW w:w="10800" w:type="dxa"/>
        <w:tblLook w:val="04A0" w:firstRow="1" w:lastRow="0" w:firstColumn="1" w:lastColumn="0" w:noHBand="0" w:noVBand="1"/>
      </w:tblPr>
      <w:tblGrid>
        <w:gridCol w:w="3518"/>
        <w:gridCol w:w="3764"/>
        <w:gridCol w:w="3518"/>
      </w:tblGrid>
      <w:tr w:rsidR="00771D43" w:rsidRPr="00771D43" w14:paraId="5258B66C" w14:textId="77777777" w:rsidTr="3FB59EBC">
        <w:trPr>
          <w:cnfStyle w:val="100000000000" w:firstRow="1" w:lastRow="0" w:firstColumn="0" w:lastColumn="0" w:oddVBand="0" w:evenVBand="0" w:oddHBand="0" w:evenHBand="0" w:firstRowFirstColumn="0" w:firstRowLastColumn="0" w:lastRowFirstColumn="0" w:lastRowLastColumn="0"/>
          <w:tblHeader/>
        </w:trPr>
        <w:tc>
          <w:tcPr>
            <w:tcW w:w="3518" w:type="dxa"/>
            <w:shd w:val="clear" w:color="auto" w:fill="18453B" w:themeFill="text2"/>
          </w:tcPr>
          <w:p w14:paraId="0745504D" w14:textId="77777777" w:rsidR="00771D43" w:rsidRPr="00771D43" w:rsidRDefault="00771D43" w:rsidP="00771D43"/>
        </w:tc>
        <w:tc>
          <w:tcPr>
            <w:tcW w:w="3764" w:type="dxa"/>
            <w:shd w:val="clear" w:color="auto" w:fill="18453B" w:themeFill="text2"/>
          </w:tcPr>
          <w:p w14:paraId="09263C25" w14:textId="75B8F13B" w:rsidR="00771D43" w:rsidRPr="00771D43" w:rsidRDefault="00771D43" w:rsidP="00771D43">
            <w:r>
              <w:t>Tenure</w:t>
            </w:r>
          </w:p>
        </w:tc>
        <w:tc>
          <w:tcPr>
            <w:tcW w:w="3518" w:type="dxa"/>
            <w:shd w:val="clear" w:color="auto" w:fill="18453B" w:themeFill="text2"/>
          </w:tcPr>
          <w:p w14:paraId="1ADE0453" w14:textId="530B5859" w:rsidR="00771D43" w:rsidRPr="00771D43" w:rsidRDefault="00771D43" w:rsidP="00771D43">
            <w:r>
              <w:t>AS Continuing Status</w:t>
            </w:r>
          </w:p>
        </w:tc>
      </w:tr>
      <w:tr w:rsidR="00CE6A08" w14:paraId="12CFADBF" w14:textId="77777777" w:rsidTr="3FB59EBC">
        <w:tc>
          <w:tcPr>
            <w:tcW w:w="3518" w:type="dxa"/>
          </w:tcPr>
          <w:p w14:paraId="553AF309" w14:textId="33E758B9" w:rsidR="00CE6A08" w:rsidRDefault="00F92766">
            <w:r>
              <w:t xml:space="preserve">What if I want to </w:t>
            </w:r>
            <w:r w:rsidR="00421CFA">
              <w:t>terminate</w:t>
            </w:r>
            <w:r>
              <w:t xml:space="preserve"> someone in this status? Can I do that?</w:t>
            </w:r>
          </w:p>
        </w:tc>
        <w:tc>
          <w:tcPr>
            <w:tcW w:w="3764" w:type="dxa"/>
          </w:tcPr>
          <w:p w14:paraId="518A8CB1" w14:textId="7B597855" w:rsidR="00CE6A08" w:rsidRDefault="00F4453E">
            <w:r>
              <w:t>F</w:t>
            </w:r>
            <w:r w:rsidR="00995ABE">
              <w:t>or cause</w:t>
            </w:r>
            <w:r>
              <w:t>, yes</w:t>
            </w:r>
            <w:r w:rsidR="00995ABE">
              <w:t xml:space="preserve">; see </w:t>
            </w:r>
            <w:hyperlink r:id="rId14" w:history="1">
              <w:r w:rsidR="00995ABE" w:rsidRPr="00995ABE">
                <w:rPr>
                  <w:rStyle w:val="Hyperlink"/>
                </w:rPr>
                <w:t>Discipline and Dismissal of Tenured Faculty for Cause</w:t>
              </w:r>
            </w:hyperlink>
            <w:r w:rsidR="00995ABE">
              <w:t xml:space="preserve">. </w:t>
            </w:r>
            <w:r w:rsidR="007F20E7">
              <w:t xml:space="preserve">Some policy suggests </w:t>
            </w:r>
            <w:r>
              <w:t xml:space="preserve">for financial reasons, </w:t>
            </w:r>
            <w:r w:rsidR="007F20E7">
              <w:t>no</w:t>
            </w:r>
            <w:r w:rsidR="00995ABE">
              <w:t xml:space="preserve">, even if the unit is dissolved; see </w:t>
            </w:r>
            <w:hyperlink r:id="rId15" w:history="1">
              <w:r w:rsidR="00995ABE" w:rsidRPr="00995ABE">
                <w:rPr>
                  <w:rStyle w:val="Hyperlink"/>
                </w:rPr>
                <w:t>Principles of Faculty Reassignment (Position Elimination)</w:t>
              </w:r>
            </w:hyperlink>
            <w:r w:rsidR="00995ABE">
              <w:t>. But there may be more info elsewhere – see next column.</w:t>
            </w:r>
          </w:p>
        </w:tc>
        <w:tc>
          <w:tcPr>
            <w:tcW w:w="3518" w:type="dxa"/>
          </w:tcPr>
          <w:p w14:paraId="4B4435C5" w14:textId="1A1BA3C6" w:rsidR="00CE6A08" w:rsidRDefault="1D338739">
            <w:r>
              <w:t xml:space="preserve">Yes. </w:t>
            </w:r>
            <w:r w:rsidR="087F6DCB">
              <w:t>“As in the tenure system and librarian continuing appointment systems, continuing appointment status does not guarantee employment if positions are not funded, if gross misconduct occurs, (and some other stuff).</w:t>
            </w:r>
            <w:r w:rsidR="3CAB522B">
              <w:t>”</w:t>
            </w:r>
            <w:r w:rsidR="087F6DCB">
              <w:t xml:space="preserve"> See </w:t>
            </w:r>
            <w:hyperlink r:id="rId16">
              <w:r w:rsidR="087F6DCB" w:rsidRPr="3FB59EBC">
                <w:rPr>
                  <w:rStyle w:val="Hyperlink"/>
                </w:rPr>
                <w:t>Handbook</w:t>
              </w:r>
            </w:hyperlink>
            <w:r w:rsidR="087F6DCB">
              <w:t>, 2.4.</w:t>
            </w:r>
            <w:r w:rsidR="033F6A8C">
              <w:t xml:space="preserve"> and </w:t>
            </w:r>
            <w:r w:rsidR="029B2997">
              <w:t xml:space="preserve">see </w:t>
            </w:r>
            <w:r w:rsidR="033F6A8C">
              <w:t>4.4.</w:t>
            </w:r>
            <w:r w:rsidR="029B2997">
              <w:t xml:space="preserve"> for the procedural details.</w:t>
            </w:r>
          </w:p>
        </w:tc>
      </w:tr>
      <w:tr w:rsidR="0032314E" w14:paraId="75F170B5" w14:textId="77777777" w:rsidTr="3FB59EBC">
        <w:tc>
          <w:tcPr>
            <w:tcW w:w="3518" w:type="dxa"/>
          </w:tcPr>
          <w:p w14:paraId="720BC172" w14:textId="2B7A6562" w:rsidR="0032314E" w:rsidRDefault="00FF2CD3">
            <w:r>
              <w:t>If someone is tenured/continuing s</w:t>
            </w:r>
            <w:r w:rsidR="00D25966">
              <w:t>tatus</w:t>
            </w:r>
            <w:r>
              <w:t xml:space="preserve"> and there is </w:t>
            </w:r>
            <w:r w:rsidR="00E105E9">
              <w:t xml:space="preserve">a </w:t>
            </w:r>
            <w:r>
              <w:t xml:space="preserve">financial exigency reason to end the position, how </w:t>
            </w:r>
            <w:r w:rsidR="00D25966">
              <w:t>much notice must be given?</w:t>
            </w:r>
          </w:p>
        </w:tc>
        <w:tc>
          <w:tcPr>
            <w:tcW w:w="3764" w:type="dxa"/>
          </w:tcPr>
          <w:p w14:paraId="31A52B22" w14:textId="55D14270" w:rsidR="007B46A6" w:rsidRDefault="007B38C2">
            <w:r>
              <w:t xml:space="preserve">Can’t find any provisions for how to do this except those discussing </w:t>
            </w:r>
            <w:r w:rsidR="00CA5FA4">
              <w:t>faculty reassignment to another unit, based on “tenure in the university”</w:t>
            </w:r>
            <w:r w:rsidR="007B46A6">
              <w:t xml:space="preserve"> – </w:t>
            </w:r>
            <w:r w:rsidR="008E7F3B">
              <w:t xml:space="preserve">which </w:t>
            </w:r>
            <w:r w:rsidR="007B46A6">
              <w:t>suggests whatever financial exigency arises must be so severe as to result in the dissolution of the unit</w:t>
            </w:r>
            <w:r w:rsidR="00A60A81">
              <w:t xml:space="preserve"> and even then, the position continues in another unit</w:t>
            </w:r>
            <w:r w:rsidR="007B46A6">
              <w:t>.</w:t>
            </w:r>
            <w:r w:rsidR="008E7F3B">
              <w:t xml:space="preserve"> See</w:t>
            </w:r>
          </w:p>
          <w:p w14:paraId="48092641" w14:textId="45AA4EFD" w:rsidR="0032314E" w:rsidRDefault="007B46A6">
            <w:hyperlink r:id="rId17" w:history="1">
              <w:r w:rsidRPr="007B46A6">
                <w:rPr>
                  <w:rStyle w:val="Hyperlink"/>
                </w:rPr>
                <w:t>Principles of Faculty Reassignment (Position Elimination)</w:t>
              </w:r>
            </w:hyperlink>
          </w:p>
        </w:tc>
        <w:tc>
          <w:tcPr>
            <w:tcW w:w="3518" w:type="dxa"/>
          </w:tcPr>
          <w:p w14:paraId="220D5E90" w14:textId="6FCFCA14" w:rsidR="0032314E" w:rsidRDefault="00E86735">
            <w:r w:rsidRPr="00E86735">
              <w:t xml:space="preserve">An academic specialist with continuing appointment status on an annual basis will be terminated no earlier than one calendar year after receipt of </w:t>
            </w:r>
            <w:r w:rsidR="008E7F3B">
              <w:t>written</w:t>
            </w:r>
            <w:r w:rsidRPr="00E86735">
              <w:t xml:space="preserve"> notification. An academic specialist with continuing appointment status and an academic year appointment will be terminated no earlier than either the next August 15 or nine months after receiving the termination notice, whichever occurs later.</w:t>
            </w:r>
            <w:r w:rsidR="008E7F3B">
              <w:t xml:space="preserve"> Provisions exist for reassignment</w:t>
            </w:r>
            <w:r w:rsidR="005C32BC">
              <w:t xml:space="preserve"> and for relocation support</w:t>
            </w:r>
            <w:r w:rsidR="008E7F3B">
              <w:t xml:space="preserve">. See </w:t>
            </w:r>
            <w:hyperlink r:id="rId18" w:history="1">
              <w:r w:rsidR="008E7F3B" w:rsidRPr="000B2423">
                <w:rPr>
                  <w:rStyle w:val="Hyperlink"/>
                </w:rPr>
                <w:t>Handbook</w:t>
              </w:r>
            </w:hyperlink>
            <w:r w:rsidR="008E7F3B">
              <w:t xml:space="preserve">, </w:t>
            </w:r>
            <w:r w:rsidR="000B2423">
              <w:t>4.4.4.3.</w:t>
            </w:r>
          </w:p>
        </w:tc>
      </w:tr>
      <w:tr w:rsidR="0032314E" w14:paraId="7E691FE1" w14:textId="77777777" w:rsidTr="3FB59EBC">
        <w:tc>
          <w:tcPr>
            <w:tcW w:w="3518" w:type="dxa"/>
          </w:tcPr>
          <w:p w14:paraId="0CA26FE6" w14:textId="5E3BC8F2" w:rsidR="0032314E" w:rsidRDefault="00D25966">
            <w:r>
              <w:t>If someone is in a probationary period</w:t>
            </w:r>
            <w:r w:rsidR="00E105E9">
              <w:t xml:space="preserve"> and there is a </w:t>
            </w:r>
            <w:r w:rsidR="006F3A27">
              <w:t>financial exigency reason to end the position, how much notice must be given?</w:t>
            </w:r>
          </w:p>
        </w:tc>
        <w:tc>
          <w:tcPr>
            <w:tcW w:w="3764" w:type="dxa"/>
          </w:tcPr>
          <w:p w14:paraId="4EAB7291" w14:textId="148CD4DE" w:rsidR="0032314E" w:rsidRDefault="009E5FB8">
            <w:r>
              <w:t xml:space="preserve">Can’t find any </w:t>
            </w:r>
            <w:r w:rsidR="00031914">
              <w:t xml:space="preserve">provisions for doing this before the end date of the probationary period. Those end dates are always August 15, with notification of non-reappointment required by the previous December 15. </w:t>
            </w:r>
            <w:r w:rsidR="008516A4" w:rsidRPr="008516A4">
              <w:t>If a faculty member is not given proper notification</w:t>
            </w:r>
            <w:r w:rsidR="008516A4">
              <w:t xml:space="preserve"> </w:t>
            </w:r>
            <w:r w:rsidR="008516A4" w:rsidRPr="008516A4">
              <w:t>an extension of one year is automatic, and the faculty member shall consider this arrangement as official notification of separation from the University at the end of the one-year extension.</w:t>
            </w:r>
            <w:r w:rsidR="006E5C5A">
              <w:t xml:space="preserve"> Decision is made at the level of the basic administrative unit. See </w:t>
            </w:r>
            <w:hyperlink r:id="rId19" w:history="1">
              <w:r w:rsidR="00AE78E4" w:rsidRPr="00AE78E4">
                <w:rPr>
                  <w:rStyle w:val="Hyperlink"/>
                </w:rPr>
                <w:t>Non-Tenured Faculty in the Tenure System</w:t>
              </w:r>
            </w:hyperlink>
            <w:r w:rsidR="00AB272A">
              <w:t>.</w:t>
            </w:r>
          </w:p>
        </w:tc>
        <w:tc>
          <w:tcPr>
            <w:tcW w:w="3518" w:type="dxa"/>
          </w:tcPr>
          <w:p w14:paraId="2256FE5E" w14:textId="5303FB7C" w:rsidR="0032314E" w:rsidRDefault="00AB272A">
            <w:r>
              <w:t>Normally, the specialist</w:t>
            </w:r>
            <w:r w:rsidR="005A05F0" w:rsidRPr="005A05F0">
              <w:t xml:space="preserve"> will be retained until the conclusion of the applicable probationary appointment period, but not less than six months after receipt of the termination notification.</w:t>
            </w:r>
            <w:r w:rsidR="005A05F0">
              <w:t xml:space="preserve"> </w:t>
            </w:r>
            <w:r w:rsidR="005A05F0" w:rsidRPr="005A05F0">
              <w:t>This decision requires written approval of the dean/</w:t>
            </w:r>
            <w:proofErr w:type="gramStart"/>
            <w:r w:rsidR="005A05F0" w:rsidRPr="005A05F0">
              <w:t>separately</w:t>
            </w:r>
            <w:proofErr w:type="gramEnd"/>
            <w:r w:rsidR="005A05F0" w:rsidRPr="005A05F0">
              <w:t xml:space="preserve"> reporting director and the </w:t>
            </w:r>
            <w:r>
              <w:t>p</w:t>
            </w:r>
            <w:r w:rsidR="005A05F0" w:rsidRPr="005A05F0">
              <w:t>rovost.</w:t>
            </w:r>
            <w:r w:rsidR="006633C8">
              <w:t xml:space="preserve"> See </w:t>
            </w:r>
            <w:hyperlink r:id="rId20" w:history="1">
              <w:r w:rsidR="006633C8" w:rsidRPr="00AA67DA">
                <w:rPr>
                  <w:rStyle w:val="Hyperlink"/>
                </w:rPr>
                <w:t>Handbook</w:t>
              </w:r>
            </w:hyperlink>
            <w:r w:rsidR="006633C8">
              <w:t xml:space="preserve">, </w:t>
            </w:r>
            <w:r w:rsidR="00AA67DA">
              <w:t>4.4.4.2.</w:t>
            </w:r>
          </w:p>
        </w:tc>
      </w:tr>
      <w:tr w:rsidR="006F3A27" w14:paraId="6111A96F" w14:textId="77777777" w:rsidTr="3FB59EBC">
        <w:tc>
          <w:tcPr>
            <w:tcW w:w="3518" w:type="dxa"/>
          </w:tcPr>
          <w:p w14:paraId="155EFBFC" w14:textId="1399AEE0" w:rsidR="006F3A27" w:rsidRDefault="00247B62">
            <w:r>
              <w:t>By comparison, i</w:t>
            </w:r>
            <w:r w:rsidR="006F3A27">
              <w:t xml:space="preserve">f </w:t>
            </w:r>
            <w:r>
              <w:t>a person is in</w:t>
            </w:r>
            <w:r w:rsidR="006F3A27">
              <w:t xml:space="preserve"> fixed term position and there is a financial exigency reason to end the position</w:t>
            </w:r>
            <w:r w:rsidR="00910055">
              <w:t xml:space="preserve"> prior to the end date</w:t>
            </w:r>
            <w:r w:rsidR="006F3A27">
              <w:t>, how much notice must be given?</w:t>
            </w:r>
          </w:p>
        </w:tc>
        <w:tc>
          <w:tcPr>
            <w:tcW w:w="3764" w:type="dxa"/>
          </w:tcPr>
          <w:p w14:paraId="77F5BEE5" w14:textId="11E58B61" w:rsidR="006F3A27" w:rsidRDefault="00A7467D">
            <w:r>
              <w:t>A</w:t>
            </w:r>
            <w:r w:rsidRPr="00A7467D">
              <w:t>t least sixty days prior to the effective date of separation</w:t>
            </w:r>
            <w:r>
              <w:t>, in writing.</w:t>
            </w:r>
            <w:r w:rsidRPr="00A7467D">
              <w:t xml:space="preserve"> Prior to notification to the employee, the unit administrator shall confer with the dean/separately reporting director and the Office of the Provost.</w:t>
            </w:r>
          </w:p>
        </w:tc>
        <w:tc>
          <w:tcPr>
            <w:tcW w:w="3518" w:type="dxa"/>
          </w:tcPr>
          <w:p w14:paraId="29A95AEB" w14:textId="06E9966B" w:rsidR="006F3A27" w:rsidRDefault="00A7467D">
            <w:r>
              <w:t>A</w:t>
            </w:r>
            <w:r w:rsidRPr="00A7467D">
              <w:t xml:space="preserve">t least </w:t>
            </w:r>
            <w:r w:rsidR="00E07970">
              <w:t>two months</w:t>
            </w:r>
            <w:r w:rsidRPr="00A7467D">
              <w:t xml:space="preserve"> prior to the effective date of separation</w:t>
            </w:r>
            <w:r>
              <w:t>, in writing.</w:t>
            </w:r>
            <w:r w:rsidRPr="00A7467D">
              <w:t xml:space="preserve"> Prior to notification to the employee, the unit administrator shall confer with the dean/separately reporting director and the Office of the Provost.</w:t>
            </w:r>
          </w:p>
        </w:tc>
      </w:tr>
    </w:tbl>
    <w:p w14:paraId="4345801D" w14:textId="3BF7E6EB" w:rsidR="00D52C86" w:rsidRDefault="00D52C86" w:rsidP="00D52C86">
      <w:pPr>
        <w:pStyle w:val="Heading1"/>
      </w:pPr>
      <w:bookmarkStart w:id="2" w:name="_Toc193729658"/>
      <w:r>
        <w:lastRenderedPageBreak/>
        <w:t>Probationary Periods</w:t>
      </w:r>
      <w:bookmarkEnd w:id="2"/>
    </w:p>
    <w:tbl>
      <w:tblPr>
        <w:tblStyle w:val="CalendarList"/>
        <w:tblW w:w="10800" w:type="dxa"/>
        <w:tblLook w:val="04A0" w:firstRow="1" w:lastRow="0" w:firstColumn="1" w:lastColumn="0" w:noHBand="0" w:noVBand="1"/>
      </w:tblPr>
      <w:tblGrid>
        <w:gridCol w:w="3518"/>
        <w:gridCol w:w="3764"/>
        <w:gridCol w:w="3518"/>
      </w:tblGrid>
      <w:tr w:rsidR="00D52C86" w14:paraId="5061F1F8" w14:textId="77777777" w:rsidTr="006D28B6">
        <w:trPr>
          <w:cnfStyle w:val="100000000000" w:firstRow="1" w:lastRow="0" w:firstColumn="0" w:lastColumn="0" w:oddVBand="0" w:evenVBand="0" w:oddHBand="0" w:evenHBand="0" w:firstRowFirstColumn="0" w:firstRowLastColumn="0" w:lastRowFirstColumn="0" w:lastRowLastColumn="0"/>
          <w:tblHeader/>
        </w:trPr>
        <w:tc>
          <w:tcPr>
            <w:tcW w:w="3518" w:type="dxa"/>
            <w:shd w:val="clear" w:color="auto" w:fill="18453B" w:themeFill="text2"/>
          </w:tcPr>
          <w:p w14:paraId="6E35A0D9" w14:textId="77777777" w:rsidR="00D52C86" w:rsidRDefault="00D52C86" w:rsidP="00D52C86"/>
        </w:tc>
        <w:tc>
          <w:tcPr>
            <w:tcW w:w="3764" w:type="dxa"/>
            <w:shd w:val="clear" w:color="auto" w:fill="18453B" w:themeFill="text2"/>
          </w:tcPr>
          <w:p w14:paraId="1A689048" w14:textId="05D5DAF0" w:rsidR="00D52C86" w:rsidRDefault="00D52C86" w:rsidP="00D52C86">
            <w:r>
              <w:t>Tenure</w:t>
            </w:r>
          </w:p>
        </w:tc>
        <w:tc>
          <w:tcPr>
            <w:tcW w:w="3518" w:type="dxa"/>
            <w:shd w:val="clear" w:color="auto" w:fill="18453B" w:themeFill="text2"/>
          </w:tcPr>
          <w:p w14:paraId="3873DFEA" w14:textId="783CCDFA" w:rsidR="00D52C86" w:rsidRDefault="00D52C86" w:rsidP="00D52C86">
            <w:r>
              <w:t>AS Continuing Status</w:t>
            </w:r>
          </w:p>
        </w:tc>
      </w:tr>
      <w:tr w:rsidR="00CE6A08" w14:paraId="2235DB4A" w14:textId="77777777" w:rsidTr="00137F87">
        <w:tc>
          <w:tcPr>
            <w:tcW w:w="3518" w:type="dxa"/>
          </w:tcPr>
          <w:p w14:paraId="4449306F" w14:textId="7A8006AA" w:rsidR="00CE6A08" w:rsidRDefault="007F20E7">
            <w:r>
              <w:t>What if I want to put someone in a probationary status before awarding tenure or continuing status. Can I do that?</w:t>
            </w:r>
          </w:p>
        </w:tc>
        <w:tc>
          <w:tcPr>
            <w:tcW w:w="3764" w:type="dxa"/>
          </w:tcPr>
          <w:p w14:paraId="46D3E711" w14:textId="1C8226BD" w:rsidR="00CE6A08" w:rsidRDefault="007F20E7">
            <w:r>
              <w:t xml:space="preserve">Yes. The typical structure in the tenure system is two probationary periods before the award of tenure. </w:t>
            </w:r>
          </w:p>
        </w:tc>
        <w:tc>
          <w:tcPr>
            <w:tcW w:w="3518" w:type="dxa"/>
          </w:tcPr>
          <w:p w14:paraId="4A5461B9" w14:textId="1FF43038" w:rsidR="00CE6A08" w:rsidRDefault="007F20E7">
            <w:r>
              <w:t>Yes. The typical structure in the continuing system is two probationary periods before the award of continuing status.</w:t>
            </w:r>
          </w:p>
        </w:tc>
      </w:tr>
      <w:tr w:rsidR="00CE6A08" w14:paraId="3EB62DFF" w14:textId="77777777" w:rsidTr="00137F87">
        <w:tc>
          <w:tcPr>
            <w:tcW w:w="3518" w:type="dxa"/>
          </w:tcPr>
          <w:p w14:paraId="072A5AA3" w14:textId="36EFA13A" w:rsidR="00CE6A08" w:rsidRDefault="007F20E7">
            <w:r>
              <w:t>If I want someone in a probationary status before award of tenure</w:t>
            </w:r>
            <w:r w:rsidR="00E507C6">
              <w:t xml:space="preserve"> or continuing status</w:t>
            </w:r>
            <w:r>
              <w:t>, should I hire them in the fixed term system?</w:t>
            </w:r>
          </w:p>
        </w:tc>
        <w:tc>
          <w:tcPr>
            <w:tcW w:w="3764" w:type="dxa"/>
          </w:tcPr>
          <w:p w14:paraId="7EE3CDE4" w14:textId="307E1638" w:rsidR="00CE6A08" w:rsidRDefault="009347A5">
            <w:r>
              <w:t>Generally,</w:t>
            </w:r>
            <w:r w:rsidR="007F20E7">
              <w:t xml:space="preserve"> no, the most straightforward approach is to use </w:t>
            </w:r>
            <w:proofErr w:type="gramStart"/>
            <w:r w:rsidR="007F20E7">
              <w:t>the probationary</w:t>
            </w:r>
            <w:proofErr w:type="gramEnd"/>
            <w:r w:rsidR="007F20E7">
              <w:t xml:space="preserve"> structures in the tenure system.</w:t>
            </w:r>
          </w:p>
        </w:tc>
        <w:tc>
          <w:tcPr>
            <w:tcW w:w="3518" w:type="dxa"/>
          </w:tcPr>
          <w:p w14:paraId="045EAA41" w14:textId="61E4D38B" w:rsidR="00CE6A08" w:rsidRDefault="009347A5">
            <w:r>
              <w:t>Generally,</w:t>
            </w:r>
            <w:r w:rsidR="007F20E7">
              <w:t xml:space="preserve"> no, the most straightforward approach is to use the probationary structures in the continuing system.</w:t>
            </w:r>
          </w:p>
        </w:tc>
      </w:tr>
      <w:tr w:rsidR="009347A5" w14:paraId="0617D9BF" w14:textId="77777777" w:rsidTr="00137F87">
        <w:tc>
          <w:tcPr>
            <w:tcW w:w="3518" w:type="dxa"/>
          </w:tcPr>
          <w:p w14:paraId="10E2957C" w14:textId="134DB2C1" w:rsidR="009347A5" w:rsidRDefault="009347A5">
            <w:r>
              <w:t>Who decides if someone in a probationary appointment is reappointed?</w:t>
            </w:r>
          </w:p>
        </w:tc>
        <w:tc>
          <w:tcPr>
            <w:tcW w:w="3764" w:type="dxa"/>
          </w:tcPr>
          <w:p w14:paraId="5F8D6912" w14:textId="7732A5E7" w:rsidR="009347A5" w:rsidRDefault="009347A5">
            <w:r>
              <w:t>For reappointment to a second probationary period, only the provost. For award of tenure, only the Board of Trustees. All other review stages result in recommendations only.</w:t>
            </w:r>
          </w:p>
        </w:tc>
        <w:tc>
          <w:tcPr>
            <w:tcW w:w="3518" w:type="dxa"/>
          </w:tcPr>
          <w:p w14:paraId="4F04CC20" w14:textId="59516CA6" w:rsidR="009347A5" w:rsidRDefault="009347A5">
            <w:r>
              <w:t>For reappointment to a second probationary period, only the provost. For award of continuing status, only the provost. All other review stages result in recommendations only.</w:t>
            </w:r>
          </w:p>
        </w:tc>
      </w:tr>
      <w:tr w:rsidR="00365540" w14:paraId="51E63405" w14:textId="77777777" w:rsidTr="00137F87">
        <w:tc>
          <w:tcPr>
            <w:tcW w:w="3518" w:type="dxa"/>
          </w:tcPr>
          <w:p w14:paraId="304E0553" w14:textId="692F901C" w:rsidR="00365540" w:rsidRDefault="00365540" w:rsidP="00365540">
            <w:r>
              <w:t>Can someone in a probationary period apply for tenure/continuing status before the scheduled year for review?</w:t>
            </w:r>
          </w:p>
        </w:tc>
        <w:tc>
          <w:tcPr>
            <w:tcW w:w="3764" w:type="dxa"/>
          </w:tcPr>
          <w:p w14:paraId="3C2F1872" w14:textId="60B86A19" w:rsidR="00365540" w:rsidRDefault="00365540" w:rsidP="00365540">
            <w:r>
              <w:t xml:space="preserve">Yes. </w:t>
            </w:r>
            <w:r w:rsidRPr="000571A2">
              <w:t xml:space="preserve">Individuals have the option of requesting </w:t>
            </w:r>
            <w:r>
              <w:t>review for tenure</w:t>
            </w:r>
            <w:r w:rsidRPr="000571A2">
              <w:t xml:space="preserve"> </w:t>
            </w:r>
            <w:r>
              <w:t>in an earlier review cycle</w:t>
            </w:r>
            <w:r w:rsidRPr="000571A2">
              <w:t xml:space="preserve">. A negative decision </w:t>
            </w:r>
            <w:proofErr w:type="gramStart"/>
            <w:r w:rsidRPr="000571A2">
              <w:t>shall</w:t>
            </w:r>
            <w:proofErr w:type="gramEnd"/>
            <w:r w:rsidRPr="000571A2">
              <w:t xml:space="preserve"> not preclude consideration for reappointment at the time specified upon appointment.</w:t>
            </w:r>
            <w:r>
              <w:t xml:space="preserve"> See </w:t>
            </w:r>
            <w:hyperlink r:id="rId21" w:history="1">
              <w:r w:rsidRPr="00C012E9">
                <w:rPr>
                  <w:rStyle w:val="Hyperlink"/>
                </w:rPr>
                <w:t>Granting Tenure</w:t>
              </w:r>
            </w:hyperlink>
            <w:r>
              <w:t>.</w:t>
            </w:r>
          </w:p>
        </w:tc>
        <w:tc>
          <w:tcPr>
            <w:tcW w:w="3518" w:type="dxa"/>
          </w:tcPr>
          <w:p w14:paraId="75C99857" w14:textId="1DCB1873" w:rsidR="00365540" w:rsidRDefault="00365540" w:rsidP="00365540">
            <w:r>
              <w:t xml:space="preserve">Yes. Individuals who believe they have developed an appropriate record of activity and competence may submit materials for reappointment including award of continuing status. See </w:t>
            </w:r>
            <w:hyperlink r:id="rId22" w:history="1">
              <w:r w:rsidRPr="00F41F49">
                <w:rPr>
                  <w:rStyle w:val="Hyperlink"/>
                </w:rPr>
                <w:t>Handbook</w:t>
              </w:r>
            </w:hyperlink>
            <w:r>
              <w:t>, 4.3.3.3.</w:t>
            </w:r>
          </w:p>
        </w:tc>
      </w:tr>
      <w:tr w:rsidR="00365540" w14:paraId="6ADBD600" w14:textId="77777777" w:rsidTr="00137F87">
        <w:tc>
          <w:tcPr>
            <w:tcW w:w="3518" w:type="dxa"/>
          </w:tcPr>
          <w:p w14:paraId="07668BBF" w14:textId="1375C5AD" w:rsidR="00365540" w:rsidRDefault="00365540" w:rsidP="00365540">
            <w:r>
              <w:t>Can someone in their first probationary period apply for reappointment before the scheduled year for review?</w:t>
            </w:r>
          </w:p>
        </w:tc>
        <w:tc>
          <w:tcPr>
            <w:tcW w:w="3764" w:type="dxa"/>
          </w:tcPr>
          <w:p w14:paraId="040BCF65" w14:textId="282D45C8" w:rsidR="00365540" w:rsidRDefault="00365540" w:rsidP="00365540">
            <w:r>
              <w:t xml:space="preserve">Yes, but if an extension in the first probationary period is granted and then waived, the faculty member is bound to the outcome of the review if unsuccessful. See </w:t>
            </w:r>
            <w:hyperlink r:id="rId23" w:history="1">
              <w:r w:rsidRPr="00ED26EC">
                <w:rPr>
                  <w:rStyle w:val="Hyperlink"/>
                </w:rPr>
                <w:t>Extending the Reappointment/Promotion/Tenure Review Timeline (Extending the Tenure Clock)</w:t>
              </w:r>
            </w:hyperlink>
            <w:r>
              <w:t>.</w:t>
            </w:r>
          </w:p>
        </w:tc>
        <w:tc>
          <w:tcPr>
            <w:tcW w:w="3518" w:type="dxa"/>
          </w:tcPr>
          <w:p w14:paraId="54200139" w14:textId="2726B058" w:rsidR="00365540" w:rsidRDefault="00365540" w:rsidP="00365540">
            <w:r>
              <w:t xml:space="preserve">Yes, but since the review is typically completed </w:t>
            </w:r>
            <w:r w:rsidR="007555A6">
              <w:t xml:space="preserve">in </w:t>
            </w:r>
            <w:r>
              <w:t xml:space="preserve">the second year of the appointment, this would be unusual and would likely rely on credit for previous service, which requires provost approval. See </w:t>
            </w:r>
            <w:hyperlink r:id="rId24" w:history="1">
              <w:r w:rsidRPr="00617532">
                <w:rPr>
                  <w:rStyle w:val="Hyperlink"/>
                </w:rPr>
                <w:t>Handbook</w:t>
              </w:r>
            </w:hyperlink>
            <w:r>
              <w:t xml:space="preserve">, 4.2.7.  Also, this </w:t>
            </w:r>
            <w:hyperlink r:id="rId25" w:history="1">
              <w:r w:rsidRPr="00233A14">
                <w:rPr>
                  <w:rStyle w:val="Hyperlink"/>
                </w:rPr>
                <w:t>FAQ</w:t>
              </w:r>
            </w:hyperlink>
            <w:r>
              <w:t xml:space="preserve"> suggests the specialist who chooses to waive an extension in the first probationary period is bound to the outcome of the reappointment review and may not reapply at the original time.</w:t>
            </w:r>
          </w:p>
        </w:tc>
      </w:tr>
      <w:tr w:rsidR="0078542B" w14:paraId="2E61B8E8" w14:textId="77777777" w:rsidTr="00137F87">
        <w:tc>
          <w:tcPr>
            <w:tcW w:w="3518" w:type="dxa"/>
          </w:tcPr>
          <w:p w14:paraId="2114C639" w14:textId="6DDDF57A" w:rsidR="0078542B" w:rsidRDefault="0078542B" w:rsidP="0078542B">
            <w:r>
              <w:t>If someone in a probationary appointment is not reappointed, what happens?</w:t>
            </w:r>
          </w:p>
        </w:tc>
        <w:tc>
          <w:tcPr>
            <w:tcW w:w="3764" w:type="dxa"/>
          </w:tcPr>
          <w:p w14:paraId="35053194" w14:textId="771F494B" w:rsidR="0078542B" w:rsidRDefault="0078542B" w:rsidP="0078542B">
            <w:r>
              <w:t xml:space="preserve">The appointment ends at the probationary end date. Notification is required by December 15 prior to that end date. If notification is not given by this time, a one-year appointment extension is automatic, and serves as notification. See </w:t>
            </w:r>
            <w:hyperlink r:id="rId26" w:history="1">
              <w:r w:rsidRPr="004179FE">
                <w:rPr>
                  <w:rStyle w:val="Hyperlink"/>
                </w:rPr>
                <w:t>Operating Principles of the Tenure System</w:t>
              </w:r>
            </w:hyperlink>
            <w:r>
              <w:t>.</w:t>
            </w:r>
          </w:p>
        </w:tc>
        <w:tc>
          <w:tcPr>
            <w:tcW w:w="3518" w:type="dxa"/>
          </w:tcPr>
          <w:p w14:paraId="234BCF70" w14:textId="064BCBBE" w:rsidR="0078542B" w:rsidRDefault="0078542B" w:rsidP="0078542B">
            <w:r>
              <w:t xml:space="preserve">The appointment ends at the probationary end date. Notification is required by December 15 prior to that end date. If notification is not given by this time, a one-year appointment extension is automatic, and serves as notification. See </w:t>
            </w:r>
            <w:hyperlink r:id="rId27" w:history="1">
              <w:r w:rsidRPr="004179FE">
                <w:rPr>
                  <w:rStyle w:val="Hyperlink"/>
                </w:rPr>
                <w:t>Handbook</w:t>
              </w:r>
            </w:hyperlink>
            <w:r>
              <w:t>, 4.4.1.1.</w:t>
            </w:r>
          </w:p>
        </w:tc>
      </w:tr>
      <w:tr w:rsidR="0078542B" w14:paraId="40982939" w14:textId="77777777" w:rsidTr="00137F87">
        <w:tc>
          <w:tcPr>
            <w:tcW w:w="3518" w:type="dxa"/>
          </w:tcPr>
          <w:p w14:paraId="137E73D4" w14:textId="24D3F77D" w:rsidR="0078542B" w:rsidRDefault="0078542B" w:rsidP="0078542B">
            <w:r>
              <w:t>If someone in a tenure system/continuing system probationary period is not reappointed or awarded tenure/continuing status, can I just move them to a fixed term position?</w:t>
            </w:r>
          </w:p>
        </w:tc>
        <w:tc>
          <w:tcPr>
            <w:tcW w:w="3764" w:type="dxa"/>
          </w:tcPr>
          <w:p w14:paraId="72CA4A7A" w14:textId="77777777" w:rsidR="0078542B" w:rsidRDefault="0078542B" w:rsidP="0078542B">
            <w:r>
              <w:t>You cannot reappoint in the tenure system (</w:t>
            </w:r>
            <w:hyperlink r:id="rId28" w:history="1">
              <w:r w:rsidRPr="001172FC">
                <w:rPr>
                  <w:rStyle w:val="Hyperlink"/>
                </w:rPr>
                <w:t>Granting Tenure</w:t>
              </w:r>
            </w:hyperlink>
            <w:r>
              <w:t>), nor can the person (ever) be appointed in the tenure system (</w:t>
            </w:r>
            <w:hyperlink r:id="rId29" w:history="1">
              <w:r w:rsidRPr="001172FC">
                <w:rPr>
                  <w:rStyle w:val="Hyperlink"/>
                </w:rPr>
                <w:t>Operating Principles of the Tenure System</w:t>
              </w:r>
            </w:hyperlink>
            <w:r>
              <w:t xml:space="preserve">) without a review of this specific question by UCFT. </w:t>
            </w:r>
          </w:p>
          <w:p w14:paraId="752E5A9D" w14:textId="559822E1" w:rsidR="0078542B" w:rsidRDefault="0078542B" w:rsidP="0078542B">
            <w:r>
              <w:t xml:space="preserve">But the person could apply for any open position you may have in another system. (Unclear what would happen if </w:t>
            </w:r>
            <w:r>
              <w:lastRenderedPageBreak/>
              <w:t xml:space="preserve">you tried an exception to post with internal </w:t>
            </w:r>
            <w:proofErr w:type="gramStart"/>
            <w:r>
              <w:t>fill</w:t>
            </w:r>
            <w:proofErr w:type="gramEnd"/>
            <w:r>
              <w:t>.)</w:t>
            </w:r>
          </w:p>
        </w:tc>
        <w:tc>
          <w:tcPr>
            <w:tcW w:w="3518" w:type="dxa"/>
          </w:tcPr>
          <w:p w14:paraId="487EF59E" w14:textId="77777777" w:rsidR="0078542B" w:rsidRDefault="0078542B" w:rsidP="0078542B">
            <w:r>
              <w:lastRenderedPageBreak/>
              <w:t>You cannot reappoint in the specialist system (</w:t>
            </w:r>
            <w:hyperlink r:id="rId30" w:history="1">
              <w:r w:rsidRPr="001172FC">
                <w:rPr>
                  <w:rStyle w:val="Hyperlink"/>
                </w:rPr>
                <w:t>Handbook</w:t>
              </w:r>
            </w:hyperlink>
            <w:r>
              <w:t xml:space="preserve"> 4.4.1.3.) without a review of this specific question by the provost. But the person could apply for any open position you may have in another system. (Unclear what would happen if you tried an exception to post with internal </w:t>
            </w:r>
            <w:proofErr w:type="gramStart"/>
            <w:r>
              <w:t>fill</w:t>
            </w:r>
            <w:proofErr w:type="gramEnd"/>
            <w:r>
              <w:t>.)</w:t>
            </w:r>
          </w:p>
          <w:p w14:paraId="0E5727A2" w14:textId="77777777" w:rsidR="0078542B" w:rsidRDefault="0078542B" w:rsidP="0078542B"/>
        </w:tc>
      </w:tr>
      <w:tr w:rsidR="009347A5" w14:paraId="5A0470D3" w14:textId="77777777" w:rsidTr="00137F87">
        <w:tc>
          <w:tcPr>
            <w:tcW w:w="3518" w:type="dxa"/>
          </w:tcPr>
          <w:p w14:paraId="6F8824A9" w14:textId="0650511F" w:rsidR="009347A5" w:rsidRDefault="009347A5">
            <w:r>
              <w:lastRenderedPageBreak/>
              <w:t>Suppose I opt for fixed term appointment instead. Who decides if someone in fixed term appointment is reappointed</w:t>
            </w:r>
            <w:r w:rsidR="004179FE">
              <w:t>?</w:t>
            </w:r>
          </w:p>
        </w:tc>
        <w:tc>
          <w:tcPr>
            <w:tcW w:w="3764" w:type="dxa"/>
          </w:tcPr>
          <w:p w14:paraId="54F3497A" w14:textId="39D0B842" w:rsidR="009347A5" w:rsidRDefault="009347A5">
            <w:r>
              <w:t xml:space="preserve">Reappointment is at the discretion of the unit. The employee </w:t>
            </w:r>
            <w:r w:rsidR="00E507C6">
              <w:t>must</w:t>
            </w:r>
            <w:r>
              <w:t xml:space="preserve"> clearly understand the appointment comes with no expectation for continued appointment past the end date.</w:t>
            </w:r>
          </w:p>
        </w:tc>
        <w:tc>
          <w:tcPr>
            <w:tcW w:w="3518" w:type="dxa"/>
          </w:tcPr>
          <w:p w14:paraId="14569E52" w14:textId="7BC788AE" w:rsidR="009347A5" w:rsidRDefault="009347A5">
            <w:r>
              <w:t xml:space="preserve">Reappointment is at the discretion of the unit. The employee </w:t>
            </w:r>
            <w:r w:rsidR="00E507C6">
              <w:t>must</w:t>
            </w:r>
            <w:r>
              <w:t xml:space="preserve"> clearly understand the appointment comes with no expectation for continued appointment past the end date.</w:t>
            </w:r>
          </w:p>
        </w:tc>
      </w:tr>
      <w:tr w:rsidR="00AD22D3" w14:paraId="3AA26464" w14:textId="77777777" w:rsidTr="00137F87">
        <w:tc>
          <w:tcPr>
            <w:tcW w:w="3518" w:type="dxa"/>
          </w:tcPr>
          <w:p w14:paraId="6B75378C" w14:textId="1C7D46C5" w:rsidR="00AD22D3" w:rsidRDefault="00A94867" w:rsidP="00AD22D3">
            <w:r>
              <w:t>If I opt for a fixed term appointment instead, c</w:t>
            </w:r>
            <w:r w:rsidR="00AD22D3">
              <w:t xml:space="preserve">an I </w:t>
            </w:r>
            <w:r>
              <w:t>use a</w:t>
            </w:r>
            <w:r w:rsidR="00AD22D3">
              <w:t xml:space="preserve"> multi-year appointment?</w:t>
            </w:r>
          </w:p>
        </w:tc>
        <w:tc>
          <w:tcPr>
            <w:tcW w:w="3764" w:type="dxa"/>
          </w:tcPr>
          <w:p w14:paraId="0AE0F40B" w14:textId="0E95B3BC" w:rsidR="00AD22D3" w:rsidRDefault="00AD22D3" w:rsidP="00AD22D3">
            <w:r>
              <w:t xml:space="preserve">Yes, up to three years at the discretion of the unit, or longer with approval from the provost. See </w:t>
            </w:r>
            <w:hyperlink r:id="rId31" w:history="1">
              <w:r w:rsidRPr="001F5583">
                <w:rPr>
                  <w:rStyle w:val="Hyperlink"/>
                </w:rPr>
                <w:t>Fixed-Term Appointment - Faculty Handbook</w:t>
              </w:r>
            </w:hyperlink>
            <w:r>
              <w:t>.</w:t>
            </w:r>
          </w:p>
        </w:tc>
        <w:tc>
          <w:tcPr>
            <w:tcW w:w="3518" w:type="dxa"/>
          </w:tcPr>
          <w:p w14:paraId="72FEF8F9" w14:textId="0CADEF5A" w:rsidR="00AD22D3" w:rsidRDefault="00AD22D3" w:rsidP="00AD22D3">
            <w:r>
              <w:t xml:space="preserve">Yes, up to three years at the discretion of the unit, or longer with approval from the provost. See </w:t>
            </w:r>
            <w:hyperlink r:id="rId32" w:history="1">
              <w:r w:rsidRPr="001F5583">
                <w:rPr>
                  <w:rStyle w:val="Hyperlink"/>
                </w:rPr>
                <w:t>Fixed-Term Appointment - Faculty Handbook</w:t>
              </w:r>
            </w:hyperlink>
            <w:r>
              <w:t xml:space="preserve">. Moreover, </w:t>
            </w:r>
            <w:r w:rsidR="001F2EE5">
              <w:t xml:space="preserve">full-time fixed term specialists </w:t>
            </w:r>
            <w:r w:rsidR="00165596">
              <w:t xml:space="preserve">continuously reappointed at </w:t>
            </w:r>
            <w:r w:rsidR="005739A4">
              <w:t>fixed</w:t>
            </w:r>
            <w:r w:rsidR="00165596">
              <w:t xml:space="preserve"> term status for a maximum of </w:t>
            </w:r>
            <w:r w:rsidR="005739A4">
              <w:t>f</w:t>
            </w:r>
            <w:r w:rsidR="00165596">
              <w:t>i</w:t>
            </w:r>
            <w:r w:rsidR="005739A4">
              <w:t>v</w:t>
            </w:r>
            <w:r w:rsidR="00165596">
              <w:t>e r</w:t>
            </w:r>
            <w:r w:rsidR="005739A4">
              <w:t>eappointments</w:t>
            </w:r>
            <w:r w:rsidR="00165596">
              <w:t xml:space="preserve"> (AN or AY) must be provided a multi-year reappointment for up to three years.</w:t>
            </w:r>
            <w:r w:rsidR="005739A4">
              <w:t xml:space="preserve"> If there are reasons that prohibit the multi-year reappointment, the unit administrator is required to request an exception </w:t>
            </w:r>
            <w:proofErr w:type="gramStart"/>
            <w:r w:rsidR="005739A4">
              <w:t>form</w:t>
            </w:r>
            <w:proofErr w:type="gramEnd"/>
            <w:r w:rsidR="005739A4">
              <w:t xml:space="preserve"> the provost’s office.</w:t>
            </w:r>
            <w:r w:rsidR="00052388">
              <w:t xml:space="preserve"> </w:t>
            </w:r>
            <w:r w:rsidR="00F14F52">
              <w:t xml:space="preserve">See </w:t>
            </w:r>
            <w:hyperlink r:id="rId33" w:history="1">
              <w:r w:rsidR="00052388" w:rsidRPr="00AA6EEE">
                <w:rPr>
                  <w:rStyle w:val="Hyperlink"/>
                </w:rPr>
                <w:t>Handbook</w:t>
              </w:r>
            </w:hyperlink>
            <w:r w:rsidR="00052388">
              <w:t>, 2.4.</w:t>
            </w:r>
          </w:p>
        </w:tc>
      </w:tr>
    </w:tbl>
    <w:p w14:paraId="6976383A" w14:textId="77777777" w:rsidR="006D28B6" w:rsidRDefault="006D28B6" w:rsidP="006D28B6">
      <w:pPr>
        <w:pStyle w:val="Heading1"/>
      </w:pPr>
      <w:bookmarkStart w:id="3" w:name="_Toc193729659"/>
      <w:r>
        <w:t>Annual Review</w:t>
      </w:r>
      <w:bookmarkEnd w:id="3"/>
    </w:p>
    <w:tbl>
      <w:tblPr>
        <w:tblStyle w:val="CalendarList"/>
        <w:tblW w:w="10800" w:type="dxa"/>
        <w:tblLook w:val="04A0" w:firstRow="1" w:lastRow="0" w:firstColumn="1" w:lastColumn="0" w:noHBand="0" w:noVBand="1"/>
      </w:tblPr>
      <w:tblGrid>
        <w:gridCol w:w="3518"/>
        <w:gridCol w:w="3764"/>
        <w:gridCol w:w="3518"/>
      </w:tblGrid>
      <w:tr w:rsidR="006D28B6" w14:paraId="67D3EBF5" w14:textId="77777777" w:rsidTr="006D28B6">
        <w:trPr>
          <w:cnfStyle w:val="100000000000" w:firstRow="1" w:lastRow="0" w:firstColumn="0" w:lastColumn="0" w:oddVBand="0" w:evenVBand="0" w:oddHBand="0" w:evenHBand="0" w:firstRowFirstColumn="0" w:firstRowLastColumn="0" w:lastRowFirstColumn="0" w:lastRowLastColumn="0"/>
          <w:trHeight w:val="300"/>
          <w:tblHeader/>
        </w:trPr>
        <w:tc>
          <w:tcPr>
            <w:tcW w:w="3518" w:type="dxa"/>
            <w:shd w:val="clear" w:color="auto" w:fill="18453B" w:themeFill="text2"/>
          </w:tcPr>
          <w:p w14:paraId="7757E694" w14:textId="77777777" w:rsidR="006D28B6" w:rsidRDefault="006D28B6" w:rsidP="00CE6C22"/>
        </w:tc>
        <w:tc>
          <w:tcPr>
            <w:tcW w:w="3764" w:type="dxa"/>
            <w:shd w:val="clear" w:color="auto" w:fill="18453B" w:themeFill="text2"/>
          </w:tcPr>
          <w:p w14:paraId="0235AFFC" w14:textId="77777777" w:rsidR="006D28B6" w:rsidRDefault="006D28B6" w:rsidP="00CE6C22">
            <w:r>
              <w:t>Tenure</w:t>
            </w:r>
          </w:p>
        </w:tc>
        <w:tc>
          <w:tcPr>
            <w:tcW w:w="3518" w:type="dxa"/>
            <w:shd w:val="clear" w:color="auto" w:fill="18453B" w:themeFill="text2"/>
          </w:tcPr>
          <w:p w14:paraId="60ACFF88" w14:textId="77777777" w:rsidR="006D28B6" w:rsidRDefault="006D28B6" w:rsidP="00CE6C22">
            <w:r>
              <w:t>AS Continuing Status</w:t>
            </w:r>
          </w:p>
        </w:tc>
      </w:tr>
      <w:tr w:rsidR="006D28B6" w14:paraId="5585137D" w14:textId="77777777" w:rsidTr="00CE6C22">
        <w:trPr>
          <w:trHeight w:val="300"/>
        </w:trPr>
        <w:tc>
          <w:tcPr>
            <w:tcW w:w="3518" w:type="dxa"/>
          </w:tcPr>
          <w:p w14:paraId="481007E5" w14:textId="77777777" w:rsidR="006D28B6" w:rsidRDefault="006D28B6" w:rsidP="00CE6C22">
            <w:r>
              <w:t>Do I have to do an annual review for a person in this system? Even if continuing/tenured? Even at if at the terminal rank (professor or senior specialist)?</w:t>
            </w:r>
          </w:p>
        </w:tc>
        <w:tc>
          <w:tcPr>
            <w:tcW w:w="3764" w:type="dxa"/>
          </w:tcPr>
          <w:p w14:paraId="2A0BB9A1" w14:textId="77777777" w:rsidR="006D28B6" w:rsidRDefault="006D28B6" w:rsidP="00CE6C22">
            <w:r>
              <w:t>Yes. All units must have procedures for written evaluation of tenure system faculty at all ranks, to support the annual merit process and to provide a basis for a clear statement of performance expectations and accomplishments. (</w:t>
            </w:r>
            <w:hyperlink r:id="rId34" w:history="1">
              <w:r w:rsidRPr="000653D7">
                <w:rPr>
                  <w:rStyle w:val="Hyperlink"/>
                </w:rPr>
                <w:t>Faculty Review</w:t>
              </w:r>
            </w:hyperlink>
            <w:r>
              <w:t>) These annual assessments shall be reflected in recommendations to the provost’s office regarding reappointment, tenure and promotion. Copies of the annual review letter for all years in the reporting period must be included in the dossier.</w:t>
            </w:r>
          </w:p>
          <w:p w14:paraId="1EDD1C5F" w14:textId="77777777" w:rsidR="006D28B6" w:rsidRDefault="006D28B6" w:rsidP="00CE6C22"/>
        </w:tc>
        <w:tc>
          <w:tcPr>
            <w:tcW w:w="3518" w:type="dxa"/>
          </w:tcPr>
          <w:p w14:paraId="23963BE9" w14:textId="77777777" w:rsidR="006D28B6" w:rsidRDefault="006D28B6" w:rsidP="00CE6C22">
            <w:r>
              <w:t xml:space="preserve">Yes. </w:t>
            </w:r>
            <w:proofErr w:type="gramStart"/>
            <w:r>
              <w:t>The</w:t>
            </w:r>
            <w:proofErr w:type="gramEnd"/>
            <w:r>
              <w:t xml:space="preserve"> academic specialist with a probationary period should be evaluated annually to determine progress toward goals and/or the identification of goals. </w:t>
            </w:r>
            <w:proofErr w:type="gramStart"/>
            <w:r>
              <w:t>The</w:t>
            </w:r>
            <w:proofErr w:type="gramEnd"/>
            <w:r>
              <w:t xml:space="preserve"> academic specialist with a continuing appointment should also be evaluated. Units may also use the annual evaluation to assist in the assignment of merit and other salary adjustments. (</w:t>
            </w:r>
            <w:hyperlink r:id="rId35" w:history="1">
              <w:r w:rsidRPr="00520E2A">
                <w:rPr>
                  <w:rStyle w:val="Hyperlink"/>
                </w:rPr>
                <w:t>Handbook</w:t>
              </w:r>
            </w:hyperlink>
            <w:r>
              <w:t xml:space="preserve">, 4.3.1.- 4.3.2.) </w:t>
            </w:r>
          </w:p>
        </w:tc>
      </w:tr>
    </w:tbl>
    <w:p w14:paraId="25A22589" w14:textId="6C33B1A0" w:rsidR="00DA1F3A" w:rsidRDefault="001D4158" w:rsidP="001D4158">
      <w:pPr>
        <w:pStyle w:val="Heading1"/>
      </w:pPr>
      <w:bookmarkStart w:id="4" w:name="_Toc193729660"/>
      <w:r>
        <w:t>Transitioning from Fixed Term</w:t>
      </w:r>
      <w:bookmarkEnd w:id="4"/>
    </w:p>
    <w:tbl>
      <w:tblPr>
        <w:tblStyle w:val="CalendarList"/>
        <w:tblW w:w="10800" w:type="dxa"/>
        <w:tblLook w:val="04A0" w:firstRow="1" w:lastRow="0" w:firstColumn="1" w:lastColumn="0" w:noHBand="0" w:noVBand="1"/>
      </w:tblPr>
      <w:tblGrid>
        <w:gridCol w:w="3518"/>
        <w:gridCol w:w="3764"/>
        <w:gridCol w:w="3518"/>
      </w:tblGrid>
      <w:tr w:rsidR="00DA1F3A" w14:paraId="37DED838" w14:textId="77777777" w:rsidTr="64DFE1C8">
        <w:trPr>
          <w:cnfStyle w:val="100000000000" w:firstRow="1" w:lastRow="0" w:firstColumn="0" w:lastColumn="0" w:oddVBand="0" w:evenVBand="0" w:oddHBand="0" w:evenHBand="0" w:firstRowFirstColumn="0" w:firstRowLastColumn="0" w:lastRowFirstColumn="0" w:lastRowLastColumn="0"/>
          <w:tblHeader/>
        </w:trPr>
        <w:tc>
          <w:tcPr>
            <w:tcW w:w="3518" w:type="dxa"/>
            <w:shd w:val="clear" w:color="auto" w:fill="18453B" w:themeFill="text2"/>
          </w:tcPr>
          <w:p w14:paraId="58D4B2E0" w14:textId="77777777" w:rsidR="00DA1F3A" w:rsidRDefault="00DA1F3A" w:rsidP="00DA1F3A"/>
        </w:tc>
        <w:tc>
          <w:tcPr>
            <w:tcW w:w="3764" w:type="dxa"/>
            <w:shd w:val="clear" w:color="auto" w:fill="18453B" w:themeFill="text2"/>
          </w:tcPr>
          <w:p w14:paraId="72DF26F8" w14:textId="4D243960" w:rsidR="00DA1F3A" w:rsidRDefault="00DA1F3A" w:rsidP="00DA1F3A">
            <w:r>
              <w:t>Tenure</w:t>
            </w:r>
          </w:p>
        </w:tc>
        <w:tc>
          <w:tcPr>
            <w:tcW w:w="3518" w:type="dxa"/>
            <w:shd w:val="clear" w:color="auto" w:fill="18453B" w:themeFill="text2"/>
          </w:tcPr>
          <w:p w14:paraId="75E6F200" w14:textId="01BA0640" w:rsidR="00DA1F3A" w:rsidRDefault="00DA1F3A" w:rsidP="00DA1F3A">
            <w:r>
              <w:t>AS Continuing Status</w:t>
            </w:r>
          </w:p>
        </w:tc>
      </w:tr>
      <w:tr w:rsidR="00AD22D3" w14:paraId="5AFCAC27" w14:textId="77777777" w:rsidTr="64DFE1C8">
        <w:tc>
          <w:tcPr>
            <w:tcW w:w="3518" w:type="dxa"/>
          </w:tcPr>
          <w:p w14:paraId="6AD1B04C" w14:textId="70D4E28D" w:rsidR="00AD22D3" w:rsidRDefault="00AD22D3" w:rsidP="00AD22D3">
            <w:r>
              <w:t>Can I move someone from the fixed term system to the tenure system/continuing system?</w:t>
            </w:r>
          </w:p>
        </w:tc>
        <w:tc>
          <w:tcPr>
            <w:tcW w:w="3764" w:type="dxa"/>
          </w:tcPr>
          <w:p w14:paraId="09654129" w14:textId="137FC683" w:rsidR="00AD22D3" w:rsidRDefault="00AD22D3" w:rsidP="6D032941">
            <w:r>
              <w:t xml:space="preserve">Yes. Shifts from fixed term system to tenure system can be accomplished with an exception to post. The reason is internal </w:t>
            </w:r>
            <w:proofErr w:type="gramStart"/>
            <w:r>
              <w:t>fill</w:t>
            </w:r>
            <w:proofErr w:type="gramEnd"/>
            <w:r>
              <w:t xml:space="preserve">. See </w:t>
            </w:r>
            <w:hyperlink r:id="rId36">
              <w:r w:rsidRPr="6D032941">
                <w:rPr>
                  <w:rStyle w:val="Hyperlink"/>
                </w:rPr>
                <w:t xml:space="preserve">1.5- When to Use the </w:t>
              </w:r>
              <w:r w:rsidRPr="6D032941">
                <w:rPr>
                  <w:rStyle w:val="Hyperlink"/>
                </w:rPr>
                <w:lastRenderedPageBreak/>
                <w:t>Academic Hiring Procedure, and When to Use a Waiver</w:t>
              </w:r>
            </w:hyperlink>
            <w:r>
              <w:t xml:space="preserve">. </w:t>
            </w:r>
            <w:r w:rsidR="3D3F5E98">
              <w:t>Units must engage CHM HR and the CFO to determine whether the college can support such a request.</w:t>
            </w:r>
          </w:p>
        </w:tc>
        <w:tc>
          <w:tcPr>
            <w:tcW w:w="3518" w:type="dxa"/>
          </w:tcPr>
          <w:p w14:paraId="0C816497" w14:textId="1D7D065D" w:rsidR="00AD22D3" w:rsidRDefault="3A4FA67B" w:rsidP="00AD22D3">
            <w:r>
              <w:lastRenderedPageBreak/>
              <w:t xml:space="preserve">Yes. Shifts from fixed term system to continuing system can be accomplished with an exception to post. The reason is internal </w:t>
            </w:r>
            <w:proofErr w:type="gramStart"/>
            <w:r>
              <w:t>fill</w:t>
            </w:r>
            <w:proofErr w:type="gramEnd"/>
            <w:r>
              <w:t xml:space="preserve">. See </w:t>
            </w:r>
            <w:hyperlink r:id="rId37">
              <w:r w:rsidRPr="64DFE1C8">
                <w:rPr>
                  <w:rStyle w:val="Hyperlink"/>
                </w:rPr>
                <w:t>1.5- When to Use the Academic Hiring Procedure, and When to Use a Waiver</w:t>
              </w:r>
            </w:hyperlink>
            <w:r>
              <w:t>.</w:t>
            </w:r>
            <w:r w:rsidR="39B99B73">
              <w:t xml:space="preserve"> Units must engage CHM HR and the CFO to determine whether the college can support such a request.</w:t>
            </w:r>
          </w:p>
        </w:tc>
      </w:tr>
      <w:tr w:rsidR="00AD22D3" w14:paraId="6D04A4AC" w14:textId="77777777" w:rsidTr="64DFE1C8">
        <w:tc>
          <w:tcPr>
            <w:tcW w:w="3518" w:type="dxa"/>
          </w:tcPr>
          <w:p w14:paraId="7851B925" w14:textId="7229C71C" w:rsidR="00AD22D3" w:rsidRDefault="00AD22D3" w:rsidP="00AD22D3">
            <w:r>
              <w:lastRenderedPageBreak/>
              <w:t>Can I move someone from the fixed term system to tenured/continuing status?</w:t>
            </w:r>
          </w:p>
        </w:tc>
        <w:tc>
          <w:tcPr>
            <w:tcW w:w="3764" w:type="dxa"/>
          </w:tcPr>
          <w:p w14:paraId="7238AC8F" w14:textId="652294C0" w:rsidR="00AD22D3" w:rsidRDefault="00AD22D3" w:rsidP="6D032941">
            <w:r>
              <w:t xml:space="preserve">Yes, with approval for the status obtained through a multi-level review process including approval by the Board of Trustees. Approval is required prior to requesting the exception to post. See </w:t>
            </w:r>
            <w:hyperlink r:id="rId38">
              <w:r w:rsidRPr="6D032941">
                <w:rPr>
                  <w:rStyle w:val="Hyperlink"/>
                </w:rPr>
                <w:t>Review Process for Appointments Granting Tenure</w:t>
              </w:r>
            </w:hyperlink>
            <w:r>
              <w:t xml:space="preserve">. </w:t>
            </w:r>
            <w:r w:rsidR="713FBC75">
              <w:t>Units must engage CHM HR and the CFO to determine whether the college can support such a request.</w:t>
            </w:r>
          </w:p>
        </w:tc>
        <w:tc>
          <w:tcPr>
            <w:tcW w:w="3518" w:type="dxa"/>
          </w:tcPr>
          <w:p w14:paraId="0340EE5A" w14:textId="3B75482F" w:rsidR="00AD22D3" w:rsidRDefault="3A4FA67B" w:rsidP="74194482">
            <w:pPr>
              <w:rPr>
                <w:highlight w:val="yellow"/>
              </w:rPr>
            </w:pPr>
            <w:r>
              <w:t xml:space="preserve">Yes, with approval for the status obtained through a multi-level review process including approval by the Office of the Provost. Approval is required prior to requesting the exception to post. </w:t>
            </w:r>
            <w:r w:rsidR="0A65EB29">
              <w:t>Units must engage CHM HR and the CFO to determine whether the college can support such a request.</w:t>
            </w:r>
          </w:p>
        </w:tc>
      </w:tr>
      <w:tr w:rsidR="00AD22D3" w14:paraId="763689DB" w14:textId="77777777" w:rsidTr="64DFE1C8">
        <w:tc>
          <w:tcPr>
            <w:tcW w:w="3518" w:type="dxa"/>
          </w:tcPr>
          <w:p w14:paraId="4CE92797" w14:textId="42EFD02B" w:rsidR="00AD22D3" w:rsidRDefault="00AD22D3" w:rsidP="00AD22D3">
            <w:r>
              <w:t xml:space="preserve">Can I move someone from the fixed term system to a position in the </w:t>
            </w:r>
            <w:r w:rsidR="00141128">
              <w:t>tenure/</w:t>
            </w:r>
            <w:r>
              <w:t>continuing system above the entry rank without tenure</w:t>
            </w:r>
            <w:r w:rsidR="00141128">
              <w:t>/continuing status</w:t>
            </w:r>
            <w:r>
              <w:t>?</w:t>
            </w:r>
          </w:p>
        </w:tc>
        <w:tc>
          <w:tcPr>
            <w:tcW w:w="3764" w:type="dxa"/>
          </w:tcPr>
          <w:p w14:paraId="738215EC" w14:textId="77777777" w:rsidR="00AD22D3" w:rsidRDefault="00AD22D3" w:rsidP="00AD22D3">
            <w:r>
              <w:t>To professor – no, a faculty member with the rank of professor in the tenure system is granted tenure from the date of appointment at that rank. Accordingly, a review including BOT approval is required.</w:t>
            </w:r>
          </w:p>
          <w:p w14:paraId="684AF27E" w14:textId="77777777" w:rsidR="00AD22D3" w:rsidRDefault="00AD22D3" w:rsidP="00AD22D3"/>
          <w:p w14:paraId="7CDE0683" w14:textId="66936A8B" w:rsidR="00AD22D3" w:rsidRDefault="00AD22D3" w:rsidP="00AD22D3">
            <w:r>
              <w:t xml:space="preserve">To associate professor – yes. A single probationary period is typical. If an associate professor without tenure is reappointed, tenure is granted. </w:t>
            </w:r>
          </w:p>
          <w:p w14:paraId="0D9FEFCC" w14:textId="77777777" w:rsidR="00AD22D3" w:rsidRDefault="00AD22D3" w:rsidP="00AD22D3"/>
          <w:p w14:paraId="27A097D6" w14:textId="71197637" w:rsidR="00AD22D3" w:rsidRDefault="00AD22D3" w:rsidP="00AD22D3">
            <w:r>
              <w:t xml:space="preserve">See </w:t>
            </w:r>
            <w:hyperlink r:id="rId39" w:history="1">
              <w:r w:rsidRPr="00F56C68">
                <w:rPr>
                  <w:rStyle w:val="Hyperlink"/>
                </w:rPr>
                <w:t>Granting Tenure</w:t>
              </w:r>
            </w:hyperlink>
            <w:r>
              <w:t>.</w:t>
            </w:r>
          </w:p>
        </w:tc>
        <w:tc>
          <w:tcPr>
            <w:tcW w:w="3518" w:type="dxa"/>
          </w:tcPr>
          <w:p w14:paraId="6BD8891F" w14:textId="1275DDCF" w:rsidR="00AD22D3" w:rsidRDefault="00AD22D3" w:rsidP="00AD22D3">
            <w:r>
              <w:t xml:space="preserve">To senior specialist – yes. A review including provost approval is required. See </w:t>
            </w:r>
            <w:hyperlink r:id="rId40" w:history="1">
              <w:r w:rsidRPr="00FD067B">
                <w:rPr>
                  <w:rStyle w:val="Hyperlink"/>
                </w:rPr>
                <w:t>Handbook</w:t>
              </w:r>
            </w:hyperlink>
            <w:r>
              <w:t>, 4.2.8.2. A single probationary period is typical. If a senior specialist in the continuing system without continuing status is reappointed, continuing status is granted.</w:t>
            </w:r>
          </w:p>
          <w:p w14:paraId="67067383" w14:textId="77777777" w:rsidR="00AD22D3" w:rsidRDefault="00AD22D3" w:rsidP="00AD22D3"/>
          <w:p w14:paraId="56EDA743" w14:textId="06ADF071" w:rsidR="00AD22D3" w:rsidRDefault="00AD22D3" w:rsidP="00AD22D3">
            <w:r>
              <w:t xml:space="preserve">Although rank and award of continuing status are distinct, another option is to give credit for previous service by appointing at the specialist rank but with a single probationary period. A review including provost approval is required for the initial appointment. See </w:t>
            </w:r>
            <w:hyperlink r:id="rId41" w:history="1">
              <w:r w:rsidRPr="00FD067B">
                <w:rPr>
                  <w:rStyle w:val="Hyperlink"/>
                </w:rPr>
                <w:t>Handbook</w:t>
              </w:r>
            </w:hyperlink>
            <w:r>
              <w:t xml:space="preserve">, 4.2.7. </w:t>
            </w:r>
          </w:p>
        </w:tc>
      </w:tr>
    </w:tbl>
    <w:p w14:paraId="5D0442A5" w14:textId="5A65011E" w:rsidR="00CE6A08" w:rsidRDefault="0058732B" w:rsidP="004E006D">
      <w:pPr>
        <w:pStyle w:val="Heading1"/>
      </w:pPr>
      <w:bookmarkStart w:id="5" w:name="_Toc193729661"/>
      <w:r>
        <w:t>Revision History</w:t>
      </w:r>
      <w:bookmarkEnd w:id="5"/>
    </w:p>
    <w:p w14:paraId="7BD7836A" w14:textId="108F4D7B" w:rsidR="003E59E5" w:rsidRDefault="0058732B">
      <w:r>
        <w:t xml:space="preserve">Last updated </w:t>
      </w:r>
      <w:r w:rsidR="71BDCD95">
        <w:t>10/27/2025</w:t>
      </w:r>
      <w:r>
        <w:t xml:space="preserve"> by </w:t>
      </w:r>
      <w:r w:rsidR="133BFF53">
        <w:t>Ade Olomu and Carol Parker</w:t>
      </w:r>
      <w:r>
        <w:t>.</w:t>
      </w:r>
    </w:p>
    <w:sectPr w:rsidR="003E59E5" w:rsidSect="003F1C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6065"/>
    <w:multiLevelType w:val="multilevel"/>
    <w:tmpl w:val="B84E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80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08"/>
    <w:rsid w:val="00005429"/>
    <w:rsid w:val="00031914"/>
    <w:rsid w:val="00052388"/>
    <w:rsid w:val="00055E94"/>
    <w:rsid w:val="000571A2"/>
    <w:rsid w:val="00061A88"/>
    <w:rsid w:val="000652B1"/>
    <w:rsid w:val="000653D7"/>
    <w:rsid w:val="00087ABA"/>
    <w:rsid w:val="000B2423"/>
    <w:rsid w:val="000F50E4"/>
    <w:rsid w:val="00111A0A"/>
    <w:rsid w:val="001172FC"/>
    <w:rsid w:val="00137F87"/>
    <w:rsid w:val="00141128"/>
    <w:rsid w:val="00165596"/>
    <w:rsid w:val="0016567B"/>
    <w:rsid w:val="00184EB9"/>
    <w:rsid w:val="001B7229"/>
    <w:rsid w:val="001D4158"/>
    <w:rsid w:val="001E5084"/>
    <w:rsid w:val="001F2EE5"/>
    <w:rsid w:val="001F5583"/>
    <w:rsid w:val="00223A8C"/>
    <w:rsid w:val="00233A14"/>
    <w:rsid w:val="00236848"/>
    <w:rsid w:val="00247B62"/>
    <w:rsid w:val="0029579F"/>
    <w:rsid w:val="002B7310"/>
    <w:rsid w:val="002C427C"/>
    <w:rsid w:val="0032314E"/>
    <w:rsid w:val="00333B57"/>
    <w:rsid w:val="00343057"/>
    <w:rsid w:val="00365540"/>
    <w:rsid w:val="003E4A39"/>
    <w:rsid w:val="003E59E5"/>
    <w:rsid w:val="003F1CC5"/>
    <w:rsid w:val="0040619D"/>
    <w:rsid w:val="004179FE"/>
    <w:rsid w:val="00420EA0"/>
    <w:rsid w:val="00421CFA"/>
    <w:rsid w:val="004415F1"/>
    <w:rsid w:val="004E006D"/>
    <w:rsid w:val="00520E2A"/>
    <w:rsid w:val="005739A4"/>
    <w:rsid w:val="0058732B"/>
    <w:rsid w:val="005A05F0"/>
    <w:rsid w:val="005B6D68"/>
    <w:rsid w:val="005C32BC"/>
    <w:rsid w:val="005F4A37"/>
    <w:rsid w:val="00606D82"/>
    <w:rsid w:val="00617532"/>
    <w:rsid w:val="006633C8"/>
    <w:rsid w:val="00670752"/>
    <w:rsid w:val="006B14F9"/>
    <w:rsid w:val="006B3AD1"/>
    <w:rsid w:val="006C42D4"/>
    <w:rsid w:val="006D0C8E"/>
    <w:rsid w:val="006D28B6"/>
    <w:rsid w:val="006E5C5A"/>
    <w:rsid w:val="006F3A27"/>
    <w:rsid w:val="00700BE3"/>
    <w:rsid w:val="007528E5"/>
    <w:rsid w:val="007555A6"/>
    <w:rsid w:val="007669A7"/>
    <w:rsid w:val="00771D43"/>
    <w:rsid w:val="0078542B"/>
    <w:rsid w:val="007B38C2"/>
    <w:rsid w:val="007B46A6"/>
    <w:rsid w:val="007F20E7"/>
    <w:rsid w:val="008008A8"/>
    <w:rsid w:val="008066E3"/>
    <w:rsid w:val="008516A4"/>
    <w:rsid w:val="00866346"/>
    <w:rsid w:val="008916CE"/>
    <w:rsid w:val="008C7CAE"/>
    <w:rsid w:val="008E7F3B"/>
    <w:rsid w:val="009014AB"/>
    <w:rsid w:val="00905118"/>
    <w:rsid w:val="00910055"/>
    <w:rsid w:val="00920280"/>
    <w:rsid w:val="009347A5"/>
    <w:rsid w:val="009534E1"/>
    <w:rsid w:val="00975D4E"/>
    <w:rsid w:val="00994E3C"/>
    <w:rsid w:val="00995ABE"/>
    <w:rsid w:val="009A247F"/>
    <w:rsid w:val="009A56D7"/>
    <w:rsid w:val="009E5FB8"/>
    <w:rsid w:val="00A60A81"/>
    <w:rsid w:val="00A7467D"/>
    <w:rsid w:val="00A94867"/>
    <w:rsid w:val="00AA67DA"/>
    <w:rsid w:val="00AA6EEE"/>
    <w:rsid w:val="00AB272A"/>
    <w:rsid w:val="00AD22D3"/>
    <w:rsid w:val="00AE78E4"/>
    <w:rsid w:val="00B85E78"/>
    <w:rsid w:val="00B92966"/>
    <w:rsid w:val="00BB4846"/>
    <w:rsid w:val="00BB7E3E"/>
    <w:rsid w:val="00C012E9"/>
    <w:rsid w:val="00C068F1"/>
    <w:rsid w:val="00C15835"/>
    <w:rsid w:val="00C656D6"/>
    <w:rsid w:val="00CA4D47"/>
    <w:rsid w:val="00CA5FA4"/>
    <w:rsid w:val="00CB5775"/>
    <w:rsid w:val="00CE6A08"/>
    <w:rsid w:val="00CE6C22"/>
    <w:rsid w:val="00D25966"/>
    <w:rsid w:val="00D339B2"/>
    <w:rsid w:val="00D33D65"/>
    <w:rsid w:val="00D35F55"/>
    <w:rsid w:val="00D52C86"/>
    <w:rsid w:val="00D94AB8"/>
    <w:rsid w:val="00DA1F3A"/>
    <w:rsid w:val="00DA2324"/>
    <w:rsid w:val="00DF05FD"/>
    <w:rsid w:val="00E07970"/>
    <w:rsid w:val="00E105E9"/>
    <w:rsid w:val="00E240FD"/>
    <w:rsid w:val="00E507C6"/>
    <w:rsid w:val="00E529C1"/>
    <w:rsid w:val="00E53EB4"/>
    <w:rsid w:val="00E61772"/>
    <w:rsid w:val="00E73628"/>
    <w:rsid w:val="00E86735"/>
    <w:rsid w:val="00E96F96"/>
    <w:rsid w:val="00EA6CBF"/>
    <w:rsid w:val="00ED1144"/>
    <w:rsid w:val="00ED26EC"/>
    <w:rsid w:val="00EE1ED2"/>
    <w:rsid w:val="00F0637D"/>
    <w:rsid w:val="00F14F52"/>
    <w:rsid w:val="00F41F49"/>
    <w:rsid w:val="00F4453E"/>
    <w:rsid w:val="00F51BA6"/>
    <w:rsid w:val="00F56C68"/>
    <w:rsid w:val="00F73C62"/>
    <w:rsid w:val="00F83EA4"/>
    <w:rsid w:val="00F92766"/>
    <w:rsid w:val="00FD067B"/>
    <w:rsid w:val="00FF2CD3"/>
    <w:rsid w:val="029B2997"/>
    <w:rsid w:val="033F6A8C"/>
    <w:rsid w:val="069A79DE"/>
    <w:rsid w:val="078E8269"/>
    <w:rsid w:val="079FB7AE"/>
    <w:rsid w:val="0879F110"/>
    <w:rsid w:val="087F6DCB"/>
    <w:rsid w:val="0A65EB29"/>
    <w:rsid w:val="0A89FB87"/>
    <w:rsid w:val="12018D40"/>
    <w:rsid w:val="133BFF53"/>
    <w:rsid w:val="14D1BA96"/>
    <w:rsid w:val="1D338739"/>
    <w:rsid w:val="1E5B85D6"/>
    <w:rsid w:val="209260C9"/>
    <w:rsid w:val="2933E037"/>
    <w:rsid w:val="2A2AF303"/>
    <w:rsid w:val="2A6E0C8A"/>
    <w:rsid w:val="39B99B73"/>
    <w:rsid w:val="3A4FA67B"/>
    <w:rsid w:val="3CAB522B"/>
    <w:rsid w:val="3D3F5E98"/>
    <w:rsid w:val="3FB59EBC"/>
    <w:rsid w:val="4E48184D"/>
    <w:rsid w:val="5739D331"/>
    <w:rsid w:val="58789E05"/>
    <w:rsid w:val="5C7E954F"/>
    <w:rsid w:val="5D992E02"/>
    <w:rsid w:val="5DACDFBC"/>
    <w:rsid w:val="64DFE1C8"/>
    <w:rsid w:val="6D032941"/>
    <w:rsid w:val="6D316DF4"/>
    <w:rsid w:val="6DE06DB2"/>
    <w:rsid w:val="713FBC75"/>
    <w:rsid w:val="715E83C1"/>
    <w:rsid w:val="71BDCD95"/>
    <w:rsid w:val="720D5830"/>
    <w:rsid w:val="74194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E4B3"/>
  <w15:chartTrackingRefBased/>
  <w15:docId w15:val="{7B394C63-2FA3-48FB-866B-4226558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E3"/>
  </w:style>
  <w:style w:type="paragraph" w:styleId="Heading1">
    <w:name w:val="heading 1"/>
    <w:basedOn w:val="Normal"/>
    <w:next w:val="Normal"/>
    <w:link w:val="Heading1Char"/>
    <w:uiPriority w:val="9"/>
    <w:qFormat/>
    <w:rsid w:val="008066E3"/>
    <w:pPr>
      <w:keepNext/>
      <w:keepLines/>
      <w:spacing w:before="400" w:after="40" w:line="240" w:lineRule="auto"/>
      <w:outlineLvl w:val="0"/>
    </w:pPr>
    <w:rPr>
      <w:rFonts w:asciiTheme="majorHAnsi" w:eastAsiaTheme="majorEastAsia" w:hAnsiTheme="majorHAnsi" w:cstheme="majorBidi"/>
      <w:color w:val="314931" w:themeColor="accent1" w:themeShade="80"/>
      <w:sz w:val="36"/>
      <w:szCs w:val="36"/>
    </w:rPr>
  </w:style>
  <w:style w:type="paragraph" w:styleId="Heading2">
    <w:name w:val="heading 2"/>
    <w:basedOn w:val="Normal"/>
    <w:next w:val="Normal"/>
    <w:link w:val="Heading2Char"/>
    <w:uiPriority w:val="9"/>
    <w:unhideWhenUsed/>
    <w:qFormat/>
    <w:rsid w:val="008066E3"/>
    <w:pPr>
      <w:keepNext/>
      <w:keepLines/>
      <w:spacing w:before="40" w:after="0" w:line="240" w:lineRule="auto"/>
      <w:outlineLvl w:val="1"/>
    </w:pPr>
    <w:rPr>
      <w:rFonts w:asciiTheme="majorHAnsi" w:eastAsiaTheme="majorEastAsia" w:hAnsiTheme="majorHAnsi" w:cstheme="majorBidi"/>
      <w:color w:val="4A6D4A" w:themeColor="accent1" w:themeShade="BF"/>
      <w:sz w:val="32"/>
      <w:szCs w:val="32"/>
    </w:rPr>
  </w:style>
  <w:style w:type="paragraph" w:styleId="Heading3">
    <w:name w:val="heading 3"/>
    <w:basedOn w:val="Normal"/>
    <w:next w:val="Normal"/>
    <w:link w:val="Heading3Char"/>
    <w:uiPriority w:val="9"/>
    <w:unhideWhenUsed/>
    <w:qFormat/>
    <w:rsid w:val="008066E3"/>
    <w:pPr>
      <w:keepNext/>
      <w:keepLines/>
      <w:spacing w:before="40" w:after="0" w:line="240" w:lineRule="auto"/>
      <w:outlineLvl w:val="2"/>
    </w:pPr>
    <w:rPr>
      <w:rFonts w:asciiTheme="majorHAnsi" w:eastAsiaTheme="majorEastAsia" w:hAnsiTheme="majorHAnsi" w:cstheme="majorBidi"/>
      <w:color w:val="4A6D4A" w:themeColor="accent1" w:themeShade="BF"/>
      <w:sz w:val="28"/>
      <w:szCs w:val="28"/>
    </w:rPr>
  </w:style>
  <w:style w:type="paragraph" w:styleId="Heading4">
    <w:name w:val="heading 4"/>
    <w:basedOn w:val="Normal"/>
    <w:next w:val="Normal"/>
    <w:link w:val="Heading4Char"/>
    <w:uiPriority w:val="9"/>
    <w:unhideWhenUsed/>
    <w:qFormat/>
    <w:rsid w:val="008066E3"/>
    <w:pPr>
      <w:keepNext/>
      <w:keepLines/>
      <w:spacing w:before="40" w:after="0"/>
      <w:outlineLvl w:val="3"/>
    </w:pPr>
    <w:rPr>
      <w:rFonts w:asciiTheme="majorHAnsi" w:eastAsiaTheme="majorEastAsia" w:hAnsiTheme="majorHAnsi" w:cstheme="majorBidi"/>
      <w:color w:val="4A6D4A" w:themeColor="accent1" w:themeShade="BF"/>
      <w:sz w:val="24"/>
      <w:szCs w:val="24"/>
    </w:rPr>
  </w:style>
  <w:style w:type="paragraph" w:styleId="Heading5">
    <w:name w:val="heading 5"/>
    <w:basedOn w:val="Normal"/>
    <w:next w:val="Normal"/>
    <w:link w:val="Heading5Char"/>
    <w:uiPriority w:val="9"/>
    <w:semiHidden/>
    <w:unhideWhenUsed/>
    <w:qFormat/>
    <w:rsid w:val="008066E3"/>
    <w:pPr>
      <w:keepNext/>
      <w:keepLines/>
      <w:spacing w:before="40" w:after="0"/>
      <w:outlineLvl w:val="4"/>
    </w:pPr>
    <w:rPr>
      <w:rFonts w:asciiTheme="majorHAnsi" w:eastAsiaTheme="majorEastAsia" w:hAnsiTheme="majorHAnsi" w:cstheme="majorBidi"/>
      <w:caps/>
      <w:color w:val="4A6D4A" w:themeColor="accent1" w:themeShade="BF"/>
    </w:rPr>
  </w:style>
  <w:style w:type="paragraph" w:styleId="Heading6">
    <w:name w:val="heading 6"/>
    <w:basedOn w:val="Normal"/>
    <w:next w:val="Normal"/>
    <w:link w:val="Heading6Char"/>
    <w:uiPriority w:val="9"/>
    <w:semiHidden/>
    <w:unhideWhenUsed/>
    <w:qFormat/>
    <w:rsid w:val="008066E3"/>
    <w:pPr>
      <w:keepNext/>
      <w:keepLines/>
      <w:spacing w:before="40" w:after="0"/>
      <w:outlineLvl w:val="5"/>
    </w:pPr>
    <w:rPr>
      <w:rFonts w:asciiTheme="majorHAnsi" w:eastAsiaTheme="majorEastAsia" w:hAnsiTheme="majorHAnsi" w:cstheme="majorBidi"/>
      <w:i/>
      <w:iCs/>
      <w:caps/>
      <w:color w:val="314931" w:themeColor="accent1" w:themeShade="80"/>
    </w:rPr>
  </w:style>
  <w:style w:type="paragraph" w:styleId="Heading7">
    <w:name w:val="heading 7"/>
    <w:basedOn w:val="Normal"/>
    <w:next w:val="Normal"/>
    <w:link w:val="Heading7Char"/>
    <w:uiPriority w:val="9"/>
    <w:semiHidden/>
    <w:unhideWhenUsed/>
    <w:qFormat/>
    <w:rsid w:val="008066E3"/>
    <w:pPr>
      <w:keepNext/>
      <w:keepLines/>
      <w:spacing w:before="40" w:after="0"/>
      <w:outlineLvl w:val="6"/>
    </w:pPr>
    <w:rPr>
      <w:rFonts w:asciiTheme="majorHAnsi" w:eastAsiaTheme="majorEastAsia" w:hAnsiTheme="majorHAnsi" w:cstheme="majorBidi"/>
      <w:b/>
      <w:bCs/>
      <w:color w:val="314931" w:themeColor="accent1" w:themeShade="80"/>
    </w:rPr>
  </w:style>
  <w:style w:type="paragraph" w:styleId="Heading8">
    <w:name w:val="heading 8"/>
    <w:basedOn w:val="Normal"/>
    <w:next w:val="Normal"/>
    <w:link w:val="Heading8Char"/>
    <w:uiPriority w:val="9"/>
    <w:semiHidden/>
    <w:unhideWhenUsed/>
    <w:qFormat/>
    <w:rsid w:val="008066E3"/>
    <w:pPr>
      <w:keepNext/>
      <w:keepLines/>
      <w:spacing w:before="40" w:after="0"/>
      <w:outlineLvl w:val="7"/>
    </w:pPr>
    <w:rPr>
      <w:rFonts w:asciiTheme="majorHAnsi" w:eastAsiaTheme="majorEastAsia" w:hAnsiTheme="majorHAnsi" w:cstheme="majorBidi"/>
      <w:b/>
      <w:bCs/>
      <w:i/>
      <w:iCs/>
      <w:color w:val="314931" w:themeColor="accent1" w:themeShade="80"/>
    </w:rPr>
  </w:style>
  <w:style w:type="paragraph" w:styleId="Heading9">
    <w:name w:val="heading 9"/>
    <w:basedOn w:val="Normal"/>
    <w:next w:val="Normal"/>
    <w:link w:val="Heading9Char"/>
    <w:uiPriority w:val="9"/>
    <w:semiHidden/>
    <w:unhideWhenUsed/>
    <w:qFormat/>
    <w:rsid w:val="008066E3"/>
    <w:pPr>
      <w:keepNext/>
      <w:keepLines/>
      <w:spacing w:before="40" w:after="0"/>
      <w:outlineLvl w:val="8"/>
    </w:pPr>
    <w:rPr>
      <w:rFonts w:asciiTheme="majorHAnsi" w:eastAsiaTheme="majorEastAsia" w:hAnsiTheme="majorHAnsi" w:cstheme="majorBidi"/>
      <w:i/>
      <w:iCs/>
      <w:color w:val="31493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6E3"/>
    <w:rPr>
      <w:rFonts w:asciiTheme="majorHAnsi" w:eastAsiaTheme="majorEastAsia" w:hAnsiTheme="majorHAnsi" w:cstheme="majorBidi"/>
      <w:color w:val="314931" w:themeColor="accent1" w:themeShade="80"/>
      <w:sz w:val="36"/>
      <w:szCs w:val="36"/>
    </w:rPr>
  </w:style>
  <w:style w:type="character" w:customStyle="1" w:styleId="Heading2Char">
    <w:name w:val="Heading 2 Char"/>
    <w:basedOn w:val="DefaultParagraphFont"/>
    <w:link w:val="Heading2"/>
    <w:uiPriority w:val="9"/>
    <w:rsid w:val="008066E3"/>
    <w:rPr>
      <w:rFonts w:asciiTheme="majorHAnsi" w:eastAsiaTheme="majorEastAsia" w:hAnsiTheme="majorHAnsi" w:cstheme="majorBidi"/>
      <w:color w:val="4A6D4A" w:themeColor="accent1" w:themeShade="BF"/>
      <w:sz w:val="32"/>
      <w:szCs w:val="32"/>
    </w:rPr>
  </w:style>
  <w:style w:type="character" w:customStyle="1" w:styleId="Heading3Char">
    <w:name w:val="Heading 3 Char"/>
    <w:basedOn w:val="DefaultParagraphFont"/>
    <w:link w:val="Heading3"/>
    <w:uiPriority w:val="9"/>
    <w:rsid w:val="008066E3"/>
    <w:rPr>
      <w:rFonts w:asciiTheme="majorHAnsi" w:eastAsiaTheme="majorEastAsia" w:hAnsiTheme="majorHAnsi" w:cstheme="majorBidi"/>
      <w:color w:val="4A6D4A" w:themeColor="accent1" w:themeShade="BF"/>
      <w:sz w:val="28"/>
      <w:szCs w:val="28"/>
    </w:rPr>
  </w:style>
  <w:style w:type="character" w:customStyle="1" w:styleId="Heading4Char">
    <w:name w:val="Heading 4 Char"/>
    <w:basedOn w:val="DefaultParagraphFont"/>
    <w:link w:val="Heading4"/>
    <w:uiPriority w:val="9"/>
    <w:rsid w:val="008066E3"/>
    <w:rPr>
      <w:rFonts w:asciiTheme="majorHAnsi" w:eastAsiaTheme="majorEastAsia" w:hAnsiTheme="majorHAnsi" w:cstheme="majorBidi"/>
      <w:color w:val="4A6D4A" w:themeColor="accent1" w:themeShade="BF"/>
      <w:sz w:val="24"/>
      <w:szCs w:val="24"/>
    </w:rPr>
  </w:style>
  <w:style w:type="character" w:customStyle="1" w:styleId="Heading5Char">
    <w:name w:val="Heading 5 Char"/>
    <w:basedOn w:val="DefaultParagraphFont"/>
    <w:link w:val="Heading5"/>
    <w:uiPriority w:val="9"/>
    <w:semiHidden/>
    <w:rsid w:val="008066E3"/>
    <w:rPr>
      <w:rFonts w:asciiTheme="majorHAnsi" w:eastAsiaTheme="majorEastAsia" w:hAnsiTheme="majorHAnsi" w:cstheme="majorBidi"/>
      <w:caps/>
      <w:color w:val="4A6D4A" w:themeColor="accent1" w:themeShade="BF"/>
    </w:rPr>
  </w:style>
  <w:style w:type="character" w:customStyle="1" w:styleId="Heading6Char">
    <w:name w:val="Heading 6 Char"/>
    <w:basedOn w:val="DefaultParagraphFont"/>
    <w:link w:val="Heading6"/>
    <w:uiPriority w:val="9"/>
    <w:semiHidden/>
    <w:rsid w:val="008066E3"/>
    <w:rPr>
      <w:rFonts w:asciiTheme="majorHAnsi" w:eastAsiaTheme="majorEastAsia" w:hAnsiTheme="majorHAnsi" w:cstheme="majorBidi"/>
      <w:i/>
      <w:iCs/>
      <w:caps/>
      <w:color w:val="314931" w:themeColor="accent1" w:themeShade="80"/>
    </w:rPr>
  </w:style>
  <w:style w:type="character" w:customStyle="1" w:styleId="Heading7Char">
    <w:name w:val="Heading 7 Char"/>
    <w:basedOn w:val="DefaultParagraphFont"/>
    <w:link w:val="Heading7"/>
    <w:uiPriority w:val="9"/>
    <w:semiHidden/>
    <w:rsid w:val="008066E3"/>
    <w:rPr>
      <w:rFonts w:asciiTheme="majorHAnsi" w:eastAsiaTheme="majorEastAsia" w:hAnsiTheme="majorHAnsi" w:cstheme="majorBidi"/>
      <w:b/>
      <w:bCs/>
      <w:color w:val="314931" w:themeColor="accent1" w:themeShade="80"/>
    </w:rPr>
  </w:style>
  <w:style w:type="character" w:customStyle="1" w:styleId="Heading8Char">
    <w:name w:val="Heading 8 Char"/>
    <w:basedOn w:val="DefaultParagraphFont"/>
    <w:link w:val="Heading8"/>
    <w:uiPriority w:val="9"/>
    <w:semiHidden/>
    <w:rsid w:val="008066E3"/>
    <w:rPr>
      <w:rFonts w:asciiTheme="majorHAnsi" w:eastAsiaTheme="majorEastAsia" w:hAnsiTheme="majorHAnsi" w:cstheme="majorBidi"/>
      <w:b/>
      <w:bCs/>
      <w:i/>
      <w:iCs/>
      <w:color w:val="314931" w:themeColor="accent1" w:themeShade="80"/>
    </w:rPr>
  </w:style>
  <w:style w:type="character" w:customStyle="1" w:styleId="Heading9Char">
    <w:name w:val="Heading 9 Char"/>
    <w:basedOn w:val="DefaultParagraphFont"/>
    <w:link w:val="Heading9"/>
    <w:uiPriority w:val="9"/>
    <w:semiHidden/>
    <w:rsid w:val="008066E3"/>
    <w:rPr>
      <w:rFonts w:asciiTheme="majorHAnsi" w:eastAsiaTheme="majorEastAsia" w:hAnsiTheme="majorHAnsi" w:cstheme="majorBidi"/>
      <w:i/>
      <w:iCs/>
      <w:color w:val="314931" w:themeColor="accent1" w:themeShade="80"/>
    </w:rPr>
  </w:style>
  <w:style w:type="paragraph" w:styleId="Caption">
    <w:name w:val="caption"/>
    <w:basedOn w:val="Normal"/>
    <w:next w:val="Normal"/>
    <w:uiPriority w:val="35"/>
    <w:semiHidden/>
    <w:unhideWhenUsed/>
    <w:qFormat/>
    <w:rsid w:val="008066E3"/>
    <w:pPr>
      <w:spacing w:line="240" w:lineRule="auto"/>
    </w:pPr>
    <w:rPr>
      <w:b/>
      <w:bCs/>
      <w:smallCaps/>
      <w:color w:val="18453B" w:themeColor="text2"/>
    </w:rPr>
  </w:style>
  <w:style w:type="paragraph" w:styleId="Title">
    <w:name w:val="Title"/>
    <w:basedOn w:val="Normal"/>
    <w:next w:val="Normal"/>
    <w:link w:val="TitleChar"/>
    <w:uiPriority w:val="10"/>
    <w:qFormat/>
    <w:rsid w:val="008066E3"/>
    <w:pPr>
      <w:spacing w:after="0" w:line="204" w:lineRule="auto"/>
      <w:contextualSpacing/>
    </w:pPr>
    <w:rPr>
      <w:rFonts w:asciiTheme="majorHAnsi" w:eastAsiaTheme="majorEastAsia" w:hAnsiTheme="majorHAnsi" w:cstheme="majorBidi"/>
      <w:caps/>
      <w:color w:val="18453B" w:themeColor="text2"/>
      <w:spacing w:val="-15"/>
      <w:sz w:val="72"/>
      <w:szCs w:val="72"/>
    </w:rPr>
  </w:style>
  <w:style w:type="character" w:customStyle="1" w:styleId="TitleChar">
    <w:name w:val="Title Char"/>
    <w:basedOn w:val="DefaultParagraphFont"/>
    <w:link w:val="Title"/>
    <w:uiPriority w:val="10"/>
    <w:rsid w:val="008066E3"/>
    <w:rPr>
      <w:rFonts w:asciiTheme="majorHAnsi" w:eastAsiaTheme="majorEastAsia" w:hAnsiTheme="majorHAnsi" w:cstheme="majorBidi"/>
      <w:caps/>
      <w:color w:val="18453B" w:themeColor="text2"/>
      <w:spacing w:val="-15"/>
      <w:sz w:val="72"/>
      <w:szCs w:val="72"/>
    </w:rPr>
  </w:style>
  <w:style w:type="paragraph" w:styleId="Subtitle">
    <w:name w:val="Subtitle"/>
    <w:basedOn w:val="Normal"/>
    <w:next w:val="Normal"/>
    <w:link w:val="SubtitleChar"/>
    <w:uiPriority w:val="11"/>
    <w:qFormat/>
    <w:rsid w:val="008066E3"/>
    <w:pPr>
      <w:numPr>
        <w:ilvl w:val="1"/>
      </w:numPr>
      <w:spacing w:after="240" w:line="240" w:lineRule="auto"/>
    </w:pPr>
    <w:rPr>
      <w:rFonts w:asciiTheme="majorHAnsi" w:eastAsiaTheme="majorEastAsia" w:hAnsiTheme="majorHAnsi" w:cstheme="majorBidi"/>
      <w:color w:val="639363" w:themeColor="accent1"/>
      <w:sz w:val="28"/>
      <w:szCs w:val="28"/>
    </w:rPr>
  </w:style>
  <w:style w:type="character" w:customStyle="1" w:styleId="SubtitleChar">
    <w:name w:val="Subtitle Char"/>
    <w:basedOn w:val="DefaultParagraphFont"/>
    <w:link w:val="Subtitle"/>
    <w:uiPriority w:val="11"/>
    <w:rsid w:val="008066E3"/>
    <w:rPr>
      <w:rFonts w:asciiTheme="majorHAnsi" w:eastAsiaTheme="majorEastAsia" w:hAnsiTheme="majorHAnsi" w:cstheme="majorBidi"/>
      <w:color w:val="639363" w:themeColor="accent1"/>
      <w:sz w:val="28"/>
      <w:szCs w:val="28"/>
    </w:rPr>
  </w:style>
  <w:style w:type="character" w:styleId="Strong">
    <w:name w:val="Strong"/>
    <w:basedOn w:val="DefaultParagraphFont"/>
    <w:uiPriority w:val="22"/>
    <w:qFormat/>
    <w:rsid w:val="008066E3"/>
    <w:rPr>
      <w:b/>
      <w:bCs/>
    </w:rPr>
  </w:style>
  <w:style w:type="character" w:styleId="Emphasis">
    <w:name w:val="Emphasis"/>
    <w:basedOn w:val="DefaultParagraphFont"/>
    <w:uiPriority w:val="20"/>
    <w:qFormat/>
    <w:rsid w:val="008066E3"/>
    <w:rPr>
      <w:i/>
      <w:iCs/>
    </w:rPr>
  </w:style>
  <w:style w:type="paragraph" w:styleId="NoSpacing">
    <w:name w:val="No Spacing"/>
    <w:uiPriority w:val="1"/>
    <w:qFormat/>
    <w:rsid w:val="008066E3"/>
    <w:pPr>
      <w:spacing w:after="0" w:line="240" w:lineRule="auto"/>
    </w:pPr>
  </w:style>
  <w:style w:type="paragraph" w:styleId="ListParagraph">
    <w:name w:val="List Paragraph"/>
    <w:basedOn w:val="Normal"/>
    <w:uiPriority w:val="34"/>
    <w:qFormat/>
    <w:rsid w:val="008066E3"/>
    <w:pPr>
      <w:ind w:left="720"/>
      <w:contextualSpacing/>
    </w:pPr>
  </w:style>
  <w:style w:type="paragraph" w:styleId="Quote">
    <w:name w:val="Quote"/>
    <w:basedOn w:val="Normal"/>
    <w:next w:val="Normal"/>
    <w:link w:val="QuoteChar"/>
    <w:uiPriority w:val="29"/>
    <w:qFormat/>
    <w:rsid w:val="008066E3"/>
    <w:pPr>
      <w:spacing w:before="120" w:after="120"/>
      <w:ind w:left="720"/>
    </w:pPr>
    <w:rPr>
      <w:color w:val="18453B" w:themeColor="text2"/>
      <w:sz w:val="24"/>
      <w:szCs w:val="24"/>
    </w:rPr>
  </w:style>
  <w:style w:type="character" w:customStyle="1" w:styleId="QuoteChar">
    <w:name w:val="Quote Char"/>
    <w:basedOn w:val="DefaultParagraphFont"/>
    <w:link w:val="Quote"/>
    <w:uiPriority w:val="29"/>
    <w:rsid w:val="008066E3"/>
    <w:rPr>
      <w:color w:val="18453B" w:themeColor="text2"/>
      <w:sz w:val="24"/>
      <w:szCs w:val="24"/>
    </w:rPr>
  </w:style>
  <w:style w:type="paragraph" w:styleId="IntenseQuote">
    <w:name w:val="Intense Quote"/>
    <w:basedOn w:val="Normal"/>
    <w:next w:val="Normal"/>
    <w:link w:val="IntenseQuoteChar"/>
    <w:uiPriority w:val="30"/>
    <w:qFormat/>
    <w:rsid w:val="008066E3"/>
    <w:pPr>
      <w:spacing w:before="100" w:beforeAutospacing="1" w:after="240" w:line="240" w:lineRule="auto"/>
      <w:ind w:left="720"/>
      <w:jc w:val="center"/>
    </w:pPr>
    <w:rPr>
      <w:rFonts w:asciiTheme="majorHAnsi" w:eastAsiaTheme="majorEastAsia" w:hAnsiTheme="majorHAnsi" w:cstheme="majorBidi"/>
      <w:color w:val="18453B" w:themeColor="text2"/>
      <w:spacing w:val="-6"/>
      <w:sz w:val="32"/>
      <w:szCs w:val="32"/>
    </w:rPr>
  </w:style>
  <w:style w:type="character" w:customStyle="1" w:styleId="IntenseQuoteChar">
    <w:name w:val="Intense Quote Char"/>
    <w:basedOn w:val="DefaultParagraphFont"/>
    <w:link w:val="IntenseQuote"/>
    <w:uiPriority w:val="30"/>
    <w:rsid w:val="008066E3"/>
    <w:rPr>
      <w:rFonts w:asciiTheme="majorHAnsi" w:eastAsiaTheme="majorEastAsia" w:hAnsiTheme="majorHAnsi" w:cstheme="majorBidi"/>
      <w:color w:val="18453B" w:themeColor="text2"/>
      <w:spacing w:val="-6"/>
      <w:sz w:val="32"/>
      <w:szCs w:val="32"/>
    </w:rPr>
  </w:style>
  <w:style w:type="character" w:styleId="SubtleEmphasis">
    <w:name w:val="Subtle Emphasis"/>
    <w:basedOn w:val="DefaultParagraphFont"/>
    <w:uiPriority w:val="19"/>
    <w:qFormat/>
    <w:rsid w:val="008066E3"/>
    <w:rPr>
      <w:i/>
      <w:iCs/>
      <w:color w:val="595959" w:themeColor="text1" w:themeTint="A6"/>
    </w:rPr>
  </w:style>
  <w:style w:type="character" w:styleId="IntenseEmphasis">
    <w:name w:val="Intense Emphasis"/>
    <w:basedOn w:val="DefaultParagraphFont"/>
    <w:uiPriority w:val="21"/>
    <w:qFormat/>
    <w:rsid w:val="008066E3"/>
    <w:rPr>
      <w:b/>
      <w:bCs/>
      <w:i/>
      <w:iCs/>
    </w:rPr>
  </w:style>
  <w:style w:type="character" w:styleId="SubtleReference">
    <w:name w:val="Subtle Reference"/>
    <w:basedOn w:val="DefaultParagraphFont"/>
    <w:uiPriority w:val="31"/>
    <w:qFormat/>
    <w:rsid w:val="008066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066E3"/>
    <w:rPr>
      <w:b/>
      <w:bCs/>
      <w:smallCaps/>
      <w:color w:val="18453B" w:themeColor="text2"/>
      <w:u w:val="single"/>
    </w:rPr>
  </w:style>
  <w:style w:type="character" w:styleId="BookTitle">
    <w:name w:val="Book Title"/>
    <w:basedOn w:val="DefaultParagraphFont"/>
    <w:uiPriority w:val="33"/>
    <w:qFormat/>
    <w:rsid w:val="008066E3"/>
    <w:rPr>
      <w:b/>
      <w:bCs/>
      <w:smallCaps/>
      <w:spacing w:val="10"/>
    </w:rPr>
  </w:style>
  <w:style w:type="paragraph" w:styleId="TOCHeading">
    <w:name w:val="TOC Heading"/>
    <w:basedOn w:val="Heading1"/>
    <w:next w:val="Normal"/>
    <w:uiPriority w:val="39"/>
    <w:unhideWhenUsed/>
    <w:qFormat/>
    <w:rsid w:val="008066E3"/>
    <w:pPr>
      <w:outlineLvl w:val="9"/>
    </w:pPr>
  </w:style>
  <w:style w:type="table" w:customStyle="1" w:styleId="CalendarList">
    <w:name w:val="CalendarList"/>
    <w:basedOn w:val="TableNormal"/>
    <w:uiPriority w:val="99"/>
    <w:rsid w:val="00E240FD"/>
    <w:pPr>
      <w:spacing w:after="0" w:line="240" w:lineRule="auto"/>
    </w:pPr>
    <w:tblPr>
      <w:tblBorders>
        <w:top w:val="single" w:sz="4" w:space="0" w:color="97A2A2" w:themeColor="accent3"/>
        <w:left w:val="single" w:sz="4" w:space="0" w:color="97A2A2" w:themeColor="accent3"/>
        <w:bottom w:val="single" w:sz="4" w:space="0" w:color="97A2A2" w:themeColor="accent3"/>
        <w:right w:val="single" w:sz="4" w:space="0" w:color="97A2A2" w:themeColor="accent3"/>
        <w:insideH w:val="single" w:sz="4" w:space="0" w:color="97A2A2" w:themeColor="accent3"/>
        <w:insideV w:val="single" w:sz="4" w:space="0" w:color="97A2A2" w:themeColor="accent3"/>
      </w:tblBorders>
    </w:tblPr>
    <w:tblStylePr w:type="firstRow">
      <w:rPr>
        <w:b/>
        <w:color w:val="FFFFFF" w:themeColor="background1"/>
      </w:rPr>
      <w:tblPr/>
      <w:tcPr>
        <w:shd w:val="clear" w:color="auto" w:fill="639363" w:themeFill="accent1"/>
      </w:tcPr>
    </w:tblStylePr>
  </w:style>
  <w:style w:type="table" w:styleId="TableGrid">
    <w:name w:val="Table Grid"/>
    <w:basedOn w:val="TableNormal"/>
    <w:uiPriority w:val="39"/>
    <w:rsid w:val="00CE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766"/>
    <w:rPr>
      <w:color w:val="A77753" w:themeColor="hyperlink"/>
      <w:u w:val="single"/>
    </w:rPr>
  </w:style>
  <w:style w:type="character" w:styleId="UnresolvedMention">
    <w:name w:val="Unresolved Mention"/>
    <w:basedOn w:val="DefaultParagraphFont"/>
    <w:uiPriority w:val="99"/>
    <w:semiHidden/>
    <w:unhideWhenUsed/>
    <w:rsid w:val="00F92766"/>
    <w:rPr>
      <w:color w:val="605E5C"/>
      <w:shd w:val="clear" w:color="auto" w:fill="E1DFDD"/>
    </w:rPr>
  </w:style>
  <w:style w:type="paragraph" w:styleId="TOC1">
    <w:name w:val="toc 1"/>
    <w:basedOn w:val="Normal"/>
    <w:next w:val="Normal"/>
    <w:autoRedefine/>
    <w:uiPriority w:val="39"/>
    <w:unhideWhenUsed/>
    <w:rsid w:val="006D28B6"/>
    <w:pPr>
      <w:spacing w:after="10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5084"/>
    <w:rPr>
      <w:b/>
      <w:bCs/>
    </w:rPr>
  </w:style>
  <w:style w:type="character" w:customStyle="1" w:styleId="CommentSubjectChar">
    <w:name w:val="Comment Subject Char"/>
    <w:basedOn w:val="CommentTextChar"/>
    <w:link w:val="CommentSubject"/>
    <w:uiPriority w:val="99"/>
    <w:semiHidden/>
    <w:rsid w:val="001E5084"/>
    <w:rPr>
      <w:b/>
      <w:bCs/>
      <w:sz w:val="20"/>
      <w:szCs w:val="20"/>
    </w:rPr>
  </w:style>
  <w:style w:type="character" w:styleId="FollowedHyperlink">
    <w:name w:val="FollowedHyperlink"/>
    <w:basedOn w:val="DefaultParagraphFont"/>
    <w:uiPriority w:val="99"/>
    <w:semiHidden/>
    <w:unhideWhenUsed/>
    <w:rsid w:val="003E59E5"/>
    <w:rPr>
      <w:color w:val="0081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84965">
      <w:bodyDiv w:val="1"/>
      <w:marLeft w:val="0"/>
      <w:marRight w:val="0"/>
      <w:marTop w:val="0"/>
      <w:marBottom w:val="0"/>
      <w:divBdr>
        <w:top w:val="none" w:sz="0" w:space="0" w:color="auto"/>
        <w:left w:val="none" w:sz="0" w:space="0" w:color="auto"/>
        <w:bottom w:val="none" w:sz="0" w:space="0" w:color="auto"/>
        <w:right w:val="none" w:sz="0" w:space="0" w:color="auto"/>
      </w:divBdr>
    </w:div>
    <w:div w:id="183587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msu.edu/_resources/pdf/academic-specialist-handbook/acad_spec_man.pdf" TargetMode="External"/><Relationship Id="rId18" Type="http://schemas.openxmlformats.org/officeDocument/2006/relationships/hyperlink" Target="https://hr.msu.edu/_resources/pdf/academic-specialist-handbook/acad_spec_man.pdf" TargetMode="External"/><Relationship Id="rId26" Type="http://schemas.openxmlformats.org/officeDocument/2006/relationships/hyperlink" Target="https://hr.msu.edu/policies-procedures/faculty-academic-staff/faculty-handbook/tenure_operation.html" TargetMode="External"/><Relationship Id="rId39" Type="http://schemas.openxmlformats.org/officeDocument/2006/relationships/hyperlink" Target="https://hr.msu.edu/policies-procedures/faculty-academic-staff/faculty-handbook/granting_tenure.html" TargetMode="External"/><Relationship Id="rId21" Type="http://schemas.openxmlformats.org/officeDocument/2006/relationships/hyperlink" Target="https://hr.msu.edu/policies-procedures/faculty-academic-staff/faculty-handbook/granting_tenure.html" TargetMode="External"/><Relationship Id="rId34" Type="http://schemas.openxmlformats.org/officeDocument/2006/relationships/hyperlink" Target="https://hr.msu.edu/policies-procedures/faculty-academic-staff/faculty-handbook/faculty_review.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r.msu.edu/_resources/pdf/academic-specialist-handbook/acad_spec_man.pdf" TargetMode="External"/><Relationship Id="rId20" Type="http://schemas.openxmlformats.org/officeDocument/2006/relationships/hyperlink" Target="https://hr.msu.edu/_resources/pdf/academic-specialist-handbook/acad_spec_man.pdf" TargetMode="External"/><Relationship Id="rId29" Type="http://schemas.openxmlformats.org/officeDocument/2006/relationships/hyperlink" Target="https://hr.msu.edu/policies-procedures/faculty-academic-staff/faculty-handbook/tenure_operation.html" TargetMode="External"/><Relationship Id="rId41" Type="http://schemas.openxmlformats.org/officeDocument/2006/relationships/hyperlink" Target="https://hr.msu.edu/_resources/pdf/academic-specialist-handbook/acad_spec_m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msu.edu/policies-procedures/faculty-academic-staff/academic-hiring-manual/planning.html" TargetMode="External"/><Relationship Id="rId24" Type="http://schemas.openxmlformats.org/officeDocument/2006/relationships/hyperlink" Target="https://hr.msu.edu/_resources/pdf/academic-specialist-handbook/acad_spec_man.pdf" TargetMode="External"/><Relationship Id="rId32" Type="http://schemas.openxmlformats.org/officeDocument/2006/relationships/hyperlink" Target="https://hr.msu.edu/policies-procedures/faculty-academic-staff/faculty-handbook/FixedTermApp.html" TargetMode="External"/><Relationship Id="rId37" Type="http://schemas.openxmlformats.org/officeDocument/2006/relationships/hyperlink" Target="https://hr.msu.edu/policies-procedures/faculty-academic-staff/academic-hiring-manual/hiring%20procedure_waiver.html" TargetMode="External"/><Relationship Id="rId40" Type="http://schemas.openxmlformats.org/officeDocument/2006/relationships/hyperlink" Target="https://hr.msu.edu/_resources/pdf/academic-specialist-handbook/acad_spec_man.pdf" TargetMode="External"/><Relationship Id="rId5" Type="http://schemas.openxmlformats.org/officeDocument/2006/relationships/numbering" Target="numbering.xml"/><Relationship Id="rId15" Type="http://schemas.openxmlformats.org/officeDocument/2006/relationships/hyperlink" Target="https://hr.msu.edu/policies-procedures/faculty-academic-staff/faculty-handbook/faculty_reassignment.html" TargetMode="External"/><Relationship Id="rId23" Type="http://schemas.openxmlformats.org/officeDocument/2006/relationships/hyperlink" Target="https://hr.msu.edu/policies-procedures/faculty-academic-staff/faculty-handbook/tenure_timeline_extension.html" TargetMode="External"/><Relationship Id="rId28" Type="http://schemas.openxmlformats.org/officeDocument/2006/relationships/hyperlink" Target="https://hr.msu.edu/policies-procedures/faculty-academic-staff/faculty-handbook/granting_tenure.html" TargetMode="External"/><Relationship Id="rId36" Type="http://schemas.openxmlformats.org/officeDocument/2006/relationships/hyperlink" Target="https://hr.msu.edu/policies-procedures/faculty-academic-staff/academic-hiring-manual/hiring%20procedure_waiver.html" TargetMode="External"/><Relationship Id="rId10" Type="http://schemas.openxmlformats.org/officeDocument/2006/relationships/hyperlink" Target="https://hr.msu.edu/policies-procedures/faculty-academic-staff/academic-hiring-manual/academic_positions_ranks.html" TargetMode="External"/><Relationship Id="rId19" Type="http://schemas.openxmlformats.org/officeDocument/2006/relationships/hyperlink" Target="https://hr.msu.edu/policies-procedures/faculty-academic-staff/faculty-handbook/non-tenured_faculty.html" TargetMode="External"/><Relationship Id="rId31" Type="http://schemas.openxmlformats.org/officeDocument/2006/relationships/hyperlink" Target="https://hr.msu.edu/policies-procedures/faculty-academic-staff/faculty-handbook/FixedTermApp.html" TargetMode="External"/><Relationship Id="rId4" Type="http://schemas.openxmlformats.org/officeDocument/2006/relationships/customXml" Target="../customXml/item4.xml"/><Relationship Id="rId9" Type="http://schemas.openxmlformats.org/officeDocument/2006/relationships/hyperlink" Target="https://acadgov.msu.edu/bylaws" TargetMode="External"/><Relationship Id="rId14" Type="http://schemas.openxmlformats.org/officeDocument/2006/relationships/hyperlink" Target="https://hr.msu.edu/policies-procedures/faculty-academic-staff/faculty-handbook/tenure_discipline_dismissal.html" TargetMode="External"/><Relationship Id="rId22" Type="http://schemas.openxmlformats.org/officeDocument/2006/relationships/hyperlink" Target="https://hr.msu.edu/_resources/pdf/academic-specialist-handbook/acad_spec_man.pdf" TargetMode="External"/><Relationship Id="rId27" Type="http://schemas.openxmlformats.org/officeDocument/2006/relationships/hyperlink" Target="https://hr.msu.edu/_resources/pdf/academic-specialist-handbook/acad_spec_man.pdf" TargetMode="External"/><Relationship Id="rId30" Type="http://schemas.openxmlformats.org/officeDocument/2006/relationships/hyperlink" Target="https://hr.msu.edu/_resources/pdf/academic-specialist-handbook/acad_spec_man.pdf" TargetMode="External"/><Relationship Id="rId35" Type="http://schemas.openxmlformats.org/officeDocument/2006/relationships/hyperlink" Target="https://hr.msu.edu/_resources/pdf/academic-specialist-handbook/acad_spec_man.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r.msu.edu/policies-procedures/faculty-academic-staff/academic-hiring-manual/planning.html" TargetMode="External"/><Relationship Id="rId17" Type="http://schemas.openxmlformats.org/officeDocument/2006/relationships/hyperlink" Target="https://hr.msu.edu/policies-procedures/faculty-academic-staff/faculty-handbook/faculty_reassignment.html" TargetMode="External"/><Relationship Id="rId25" Type="http://schemas.openxmlformats.org/officeDocument/2006/relationships/hyperlink" Target="https://hr.msu.edu/ua/promotion/faculty-academic-staff/coronavirus-extend-reappointment-review-faqs.html" TargetMode="External"/><Relationship Id="rId33" Type="http://schemas.openxmlformats.org/officeDocument/2006/relationships/hyperlink" Target="https://hr.msu.edu/_resources/pdf/academic-specialist-handbook/acad_spec_man.pdf" TargetMode="External"/><Relationship Id="rId38" Type="http://schemas.openxmlformats.org/officeDocument/2006/relationships/hyperlink" Target="https://hr.msu.edu/ua/hiring/faculty-academic-staff/granting-tenure-process.html" TargetMode="External"/></Relationships>
</file>

<file path=word/theme/theme1.xml><?xml version="1.0" encoding="utf-8"?>
<a:theme xmlns:a="http://schemas.openxmlformats.org/drawingml/2006/main" name="CHMFADRPT">
  <a:themeElements>
    <a:clrScheme name="CHMFAD">
      <a:dk1>
        <a:sysClr val="windowText" lastClr="000000"/>
      </a:dk1>
      <a:lt1>
        <a:sysClr val="window" lastClr="FFFFFF"/>
      </a:lt1>
      <a:dk2>
        <a:srgbClr val="18453B"/>
      </a:dk2>
      <a:lt2>
        <a:srgbClr val="ECEBEB"/>
      </a:lt2>
      <a:accent1>
        <a:srgbClr val="639363"/>
      </a:accent1>
      <a:accent2>
        <a:srgbClr val="CB5A28"/>
      </a:accent2>
      <a:accent3>
        <a:srgbClr val="97A2A2"/>
      </a:accent3>
      <a:accent4>
        <a:srgbClr val="D1DE3F"/>
      </a:accent4>
      <a:accent5>
        <a:srgbClr val="00B0B4"/>
      </a:accent5>
      <a:accent6>
        <a:srgbClr val="74A536"/>
      </a:accent6>
      <a:hlink>
        <a:srgbClr val="A77753"/>
      </a:hlink>
      <a:folHlink>
        <a:srgbClr val="00818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ntBy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FinalApproval xmlns="b9af824b-b9ca-44bc-93e9-131eccbb3ac9" xsi:nil="true"/>
    <System xmlns="b9af824b-b9ca-44bc-93e9-131eccbb3a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5" ma:contentTypeDescription="Create a new document." ma:contentTypeScope="" ma:versionID="191da99c918b51d2c6917c6047775375">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b2e24a54bc797b735cc7800a018f51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FinalApproval" minOccurs="0"/>
                <xsd:element ref="ns2:System" minOccurs="0"/>
                <xsd:element ref="ns2:Sent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nalApproval" ma:index="26" nillable="true" ma:displayName="Status" ma:format="Dropdown" ma:internalName="FinalApproval">
      <xsd:simpleType>
        <xsd:restriction base="dms:Choice">
          <xsd:enumeration value="Final Approval"/>
          <xsd:enumeration value="To Provost Office"/>
          <xsd:enumeration value="To CHM HR (COS)"/>
          <xsd:enumeration value="To OHS"/>
        </xsd:restriction>
      </xsd:simpleType>
    </xsd:element>
    <xsd:element name="System" ma:index="27" nillable="true" ma:displayName="System" ma:format="Dropdown" ma:internalName="System">
      <xsd:complexType>
        <xsd:complexContent>
          <xsd:extension base="dms:MultiChoice">
            <xsd:sequence>
              <xsd:element name="Value" maxOccurs="unbounded" minOccurs="0" nillable="true">
                <xsd:simpleType>
                  <xsd:restriction base="dms:Choice">
                    <xsd:enumeration value="Prefix"/>
                    <xsd:enumeration value="Non-Prefix"/>
                    <xsd:enumeration value="Health Programs"/>
                    <xsd:enumeration value="Tenure"/>
                    <xsd:enumeration value="Fixed Term"/>
                  </xsd:restriction>
                </xsd:simpleType>
              </xsd:element>
            </xsd:sequence>
          </xsd:extension>
        </xsd:complexContent>
      </xsd:complexType>
    </xsd:element>
    <xsd:element name="SentBy" ma:index="28" nillable="true" ma:displayName="Sent By" ma:format="Dropdown" ma:internalName="SentBy">
      <xsd:simpleType>
        <xsd:restriction base="dms:Choice">
          <xsd:enumeration value="Associate Dean"/>
          <xsd:enumeration value="Dean"/>
          <xsd:enumeration value="Choice 3"/>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90d8a7-5999-4346-8f4a-5c63e755d1c0}"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A6461-1A3E-46CA-BE70-456C34A1C417}">
  <ds:schemaRefs>
    <ds:schemaRef ds:uri="http://schemas.openxmlformats.org/officeDocument/2006/bibliography"/>
  </ds:schemaRefs>
</ds:datastoreItem>
</file>

<file path=customXml/itemProps2.xml><?xml version="1.0" encoding="utf-8"?>
<ds:datastoreItem xmlns:ds="http://schemas.openxmlformats.org/officeDocument/2006/customXml" ds:itemID="{01C15BC6-5A4B-4F1A-A5DA-93A6F5CDCE2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3.xml><?xml version="1.0" encoding="utf-8"?>
<ds:datastoreItem xmlns:ds="http://schemas.openxmlformats.org/officeDocument/2006/customXml" ds:itemID="{9E405C2F-F314-4D68-ABAE-BA8068B8C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B5725-6C18-4CC1-BCDC-AD7BF8BDE0E2}">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2588</Words>
  <Characters>14757</Characters>
  <Application>Microsoft Office Word</Application>
  <DocSecurity>0</DocSecurity>
  <Lines>122</Lines>
  <Paragraphs>34</Paragraphs>
  <ScaleCrop>false</ScaleCrop>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Kelly</dc:creator>
  <cp:keywords/>
  <dc:description/>
  <cp:lastModifiedBy>Hodges, Kelly</cp:lastModifiedBy>
  <cp:revision>128</cp:revision>
  <dcterms:created xsi:type="dcterms:W3CDTF">2025-03-14T13:28:00Z</dcterms:created>
  <dcterms:modified xsi:type="dcterms:W3CDTF">2026-03-26T17:19:00Z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Order">
    <vt:r8>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